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D63D" w14:textId="77777777" w:rsidR="00AA083A" w:rsidRPr="00716C7A" w:rsidRDefault="00AA083A" w:rsidP="00CC108E">
      <w:pPr>
        <w:jc w:val="center"/>
        <w:rPr>
          <w:rFonts w:cs="Arial"/>
          <w:b/>
          <w:sz w:val="22"/>
          <w:szCs w:val="22"/>
          <w:u w:val="single"/>
          <w:lang w:val="en-GB"/>
        </w:rPr>
      </w:pPr>
    </w:p>
    <w:tbl>
      <w:tblPr>
        <w:tblW w:w="9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4678"/>
        <w:gridCol w:w="1275"/>
        <w:gridCol w:w="1175"/>
      </w:tblGrid>
      <w:tr w:rsidR="00AA083A" w:rsidRPr="009E2A94" w14:paraId="1CAFD63F" w14:textId="77777777" w:rsidTr="42F2F823">
        <w:trPr>
          <w:trHeight w:val="589"/>
        </w:trPr>
        <w:tc>
          <w:tcPr>
            <w:tcW w:w="9142" w:type="dxa"/>
            <w:gridSpan w:val="4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BFBFBF" w:themeFill="background1" w:themeFillShade="BF"/>
            <w:vAlign w:val="center"/>
          </w:tcPr>
          <w:p w14:paraId="1CAFD63E" w14:textId="77777777" w:rsidR="00AA083A" w:rsidRPr="009E2A94" w:rsidRDefault="00AA083A" w:rsidP="00CC108E">
            <w:pPr>
              <w:pStyle w:val="Heading3"/>
              <w:numPr>
                <w:ilvl w:val="0"/>
                <w:numId w:val="1"/>
              </w:numPr>
              <w:spacing w:before="0" w:after="0"/>
              <w:ind w:left="351" w:hanging="284"/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9E2A94">
              <w:rPr>
                <w:rFonts w:ascii="Gill Sans MT" w:hAnsi="Gill Sans MT"/>
                <w:sz w:val="20"/>
                <w:szCs w:val="20"/>
                <w:lang w:val="en-GB"/>
              </w:rPr>
              <w:t>THE POSITION</w:t>
            </w:r>
          </w:p>
        </w:tc>
      </w:tr>
      <w:tr w:rsidR="00AA083A" w:rsidRPr="009E2A94" w14:paraId="1CAFD642" w14:textId="77777777" w:rsidTr="42F2F823">
        <w:trPr>
          <w:trHeight w:val="466"/>
        </w:trPr>
        <w:tc>
          <w:tcPr>
            <w:tcW w:w="2014" w:type="dxa"/>
            <w:tcBorders>
              <w:top w:val="single" w:sz="4" w:space="0" w:color="DBE5F1" w:themeColor="accent1" w:themeTint="33"/>
              <w:bottom w:val="single" w:sz="4" w:space="0" w:color="auto"/>
            </w:tcBorders>
            <w:vAlign w:val="center"/>
          </w:tcPr>
          <w:p w14:paraId="1CAFD640" w14:textId="77777777" w:rsidR="00AA083A" w:rsidRPr="009E2A94" w:rsidRDefault="00AA083A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 xml:space="preserve">Position </w:t>
            </w:r>
          </w:p>
        </w:tc>
        <w:tc>
          <w:tcPr>
            <w:tcW w:w="7128" w:type="dxa"/>
            <w:gridSpan w:val="3"/>
            <w:tcBorders>
              <w:top w:val="single" w:sz="4" w:space="0" w:color="DBE5F1" w:themeColor="accent1" w:themeTint="33"/>
              <w:bottom w:val="single" w:sz="4" w:space="0" w:color="auto"/>
            </w:tcBorders>
            <w:vAlign w:val="center"/>
          </w:tcPr>
          <w:p w14:paraId="1CAFD641" w14:textId="4984DC50" w:rsidR="00AA083A" w:rsidRPr="009E2A94" w:rsidRDefault="00F066EA" w:rsidP="00CC108E">
            <w:pPr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 xml:space="preserve">Process Safety </w:t>
            </w:r>
            <w:r w:rsidR="005B49C5">
              <w:rPr>
                <w:rFonts w:ascii="Gill Sans MT" w:hAnsi="Gill Sans MT" w:cs="Arial"/>
                <w:lang w:val="en-GB"/>
              </w:rPr>
              <w:t>Lead</w:t>
            </w:r>
          </w:p>
        </w:tc>
      </w:tr>
      <w:tr w:rsidR="00AA083A" w:rsidRPr="009E2A94" w14:paraId="1CAFD645" w14:textId="77777777" w:rsidTr="42F2F823">
        <w:trPr>
          <w:trHeight w:val="505"/>
        </w:trPr>
        <w:tc>
          <w:tcPr>
            <w:tcW w:w="2014" w:type="dxa"/>
            <w:tcBorders>
              <w:top w:val="single" w:sz="4" w:space="0" w:color="DBE5F1" w:themeColor="accent1" w:themeTint="33"/>
              <w:bottom w:val="single" w:sz="4" w:space="0" w:color="auto"/>
            </w:tcBorders>
            <w:vAlign w:val="center"/>
          </w:tcPr>
          <w:p w14:paraId="1CAFD643" w14:textId="24F009E8" w:rsidR="00AA083A" w:rsidRPr="009E2A94" w:rsidRDefault="00AA083A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>Competency</w:t>
            </w:r>
          </w:p>
        </w:tc>
        <w:tc>
          <w:tcPr>
            <w:tcW w:w="7128" w:type="dxa"/>
            <w:gridSpan w:val="3"/>
            <w:tcBorders>
              <w:top w:val="single" w:sz="4" w:space="0" w:color="DBE5F1" w:themeColor="accent1" w:themeTint="33"/>
              <w:bottom w:val="single" w:sz="4" w:space="0" w:color="auto"/>
            </w:tcBorders>
            <w:vAlign w:val="center"/>
          </w:tcPr>
          <w:p w14:paraId="1CAFD644" w14:textId="27218418" w:rsidR="00AA083A" w:rsidRPr="009E2A94" w:rsidRDefault="001B3407" w:rsidP="00CC108E">
            <w:pPr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Experienced</w:t>
            </w:r>
          </w:p>
        </w:tc>
      </w:tr>
      <w:tr w:rsidR="00AA083A" w:rsidRPr="009E2A94" w14:paraId="1CAFD648" w14:textId="77777777" w:rsidTr="42F2F823">
        <w:trPr>
          <w:trHeight w:val="423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1CAFD646" w14:textId="77777777" w:rsidR="00AA083A" w:rsidRPr="009E2A94" w:rsidRDefault="00AA083A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 xml:space="preserve">Function 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center"/>
          </w:tcPr>
          <w:p w14:paraId="1CAFD647" w14:textId="36071B98" w:rsidR="00AA083A" w:rsidRPr="009E2A94" w:rsidRDefault="001B3407" w:rsidP="00CC108E">
            <w:pPr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Business Support</w:t>
            </w:r>
          </w:p>
        </w:tc>
      </w:tr>
      <w:tr w:rsidR="00AA083A" w:rsidRPr="009E2A94" w14:paraId="1CAFD64B" w14:textId="77777777" w:rsidTr="42F2F823">
        <w:trPr>
          <w:trHeight w:val="414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1CAFD649" w14:textId="77777777" w:rsidR="00AA083A" w:rsidRPr="009E2A94" w:rsidRDefault="00AA083A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 xml:space="preserve">Division 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center"/>
          </w:tcPr>
          <w:p w14:paraId="1CAFD64A" w14:textId="64255710" w:rsidR="00AA083A" w:rsidRPr="009E2A94" w:rsidRDefault="001B3407" w:rsidP="00CC108E">
            <w:pPr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HSE</w:t>
            </w:r>
          </w:p>
        </w:tc>
      </w:tr>
      <w:tr w:rsidR="00AA083A" w:rsidRPr="009E2A94" w14:paraId="1CAFD652" w14:textId="77777777" w:rsidTr="00A34D27">
        <w:trPr>
          <w:trHeight w:val="3244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1CAFD64C" w14:textId="77777777" w:rsidR="00AA083A" w:rsidRPr="009E2A94" w:rsidRDefault="00AA083A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>Position</w:t>
            </w:r>
          </w:p>
          <w:p w14:paraId="1CAFD64F" w14:textId="07B8C2AF" w:rsidR="003A4BFA" w:rsidRPr="009E2A94" w:rsidRDefault="00AA083A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>Summary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center"/>
          </w:tcPr>
          <w:p w14:paraId="4DE79A1D" w14:textId="0BEB4400" w:rsidR="00EB0A94" w:rsidRDefault="00EB0A94" w:rsidP="00EB0A94">
            <w:pPr>
              <w:jc w:val="both"/>
              <w:rPr>
                <w:rFonts w:ascii="Gill Sans MT" w:hAnsi="Gill Sans MT" w:cs="Arial"/>
                <w:lang w:val="en-GB"/>
              </w:rPr>
            </w:pPr>
            <w:r w:rsidRPr="00EB0A94">
              <w:rPr>
                <w:rFonts w:ascii="Gill Sans MT" w:hAnsi="Gill Sans MT" w:cs="Arial"/>
                <w:lang w:val="en-GB"/>
              </w:rPr>
              <w:t>The Process Safety Lead will provide visible leadership and deep technical expertise in process safety management whil</w:t>
            </w:r>
            <w:r>
              <w:rPr>
                <w:rFonts w:ascii="Gill Sans MT" w:hAnsi="Gill Sans MT" w:cs="Arial"/>
                <w:lang w:val="en-GB"/>
              </w:rPr>
              <w:t>st</w:t>
            </w:r>
            <w:r w:rsidRPr="00EB0A94">
              <w:rPr>
                <w:rFonts w:ascii="Gill Sans MT" w:hAnsi="Gill Sans MT" w:cs="Arial"/>
                <w:lang w:val="en-GB"/>
              </w:rPr>
              <w:t xml:space="preserve"> supporting the wider HSE function. </w:t>
            </w:r>
            <w:r>
              <w:rPr>
                <w:rFonts w:ascii="Gill Sans MT" w:hAnsi="Gill Sans MT" w:cs="Arial"/>
                <w:lang w:val="en-GB"/>
              </w:rPr>
              <w:t xml:space="preserve"> </w:t>
            </w:r>
            <w:r w:rsidRPr="00EB0A94">
              <w:rPr>
                <w:rFonts w:ascii="Gill Sans MT" w:hAnsi="Gill Sans MT" w:cs="Arial"/>
                <w:lang w:val="en-GB"/>
              </w:rPr>
              <w:t>The role is responsible for developing, implementing, and continuously improving the organisation’s process safety framework to ensure risks associated with major accident hazards are effectively identified, assessed, and controlled.</w:t>
            </w:r>
          </w:p>
          <w:p w14:paraId="4108B904" w14:textId="77777777" w:rsidR="00EB0A94" w:rsidRPr="00EB0A94" w:rsidRDefault="00EB0A94" w:rsidP="00EB0A94">
            <w:pPr>
              <w:jc w:val="both"/>
              <w:rPr>
                <w:rFonts w:ascii="Gill Sans MT" w:hAnsi="Gill Sans MT" w:cs="Arial"/>
                <w:lang w:val="en-GB"/>
              </w:rPr>
            </w:pPr>
          </w:p>
          <w:p w14:paraId="2C8C4595" w14:textId="027EF3BA" w:rsidR="00FB208C" w:rsidRDefault="00EB0A94" w:rsidP="00CC108E">
            <w:pPr>
              <w:jc w:val="both"/>
              <w:rPr>
                <w:rFonts w:ascii="Gill Sans MT" w:hAnsi="Gill Sans MT" w:cs="Arial"/>
                <w:lang w:val="en-GB"/>
              </w:rPr>
            </w:pPr>
            <w:r w:rsidRPr="00EB0A94">
              <w:rPr>
                <w:rFonts w:ascii="Gill Sans MT" w:hAnsi="Gill Sans MT" w:cs="Arial"/>
                <w:lang w:val="en-GB"/>
              </w:rPr>
              <w:t>The role holder will act as the subject matter expert on process safety</w:t>
            </w:r>
            <w:r w:rsidRPr="00EB0A94">
              <w:rPr>
                <w:rFonts w:ascii="Gill Sans MT" w:hAnsi="Gill Sans MT" w:cs="Arial"/>
                <w:lang w:val="en-GB"/>
              </w:rPr>
              <w:t xml:space="preserve"> </w:t>
            </w:r>
            <w:r w:rsidRPr="00EB0A94">
              <w:rPr>
                <w:rFonts w:ascii="Gill Sans MT" w:hAnsi="Gill Sans MT" w:cs="Arial"/>
                <w:lang w:val="en-GB"/>
              </w:rPr>
              <w:t>supporting both operational and project activities, ensuring compliance with regulatory requirements (including COMAH), and embedding inherently safer design principles.</w:t>
            </w:r>
            <w:r w:rsidR="00A34D27">
              <w:rPr>
                <w:rFonts w:ascii="Gill Sans MT" w:hAnsi="Gill Sans MT" w:cs="Arial"/>
                <w:lang w:val="en-GB"/>
              </w:rPr>
              <w:t xml:space="preserve"> </w:t>
            </w:r>
            <w:r w:rsidRPr="00EB0A94">
              <w:rPr>
                <w:rFonts w:ascii="Gill Sans MT" w:hAnsi="Gill Sans MT" w:cs="Arial"/>
                <w:lang w:val="en-GB"/>
              </w:rPr>
              <w:t xml:space="preserve"> </w:t>
            </w:r>
          </w:p>
          <w:p w14:paraId="3325087E" w14:textId="77777777" w:rsidR="00FB208C" w:rsidRDefault="00FB208C" w:rsidP="00CC108E">
            <w:pPr>
              <w:jc w:val="both"/>
              <w:rPr>
                <w:rFonts w:ascii="Gill Sans MT" w:hAnsi="Gill Sans MT" w:cs="Arial"/>
                <w:lang w:val="en-GB"/>
              </w:rPr>
            </w:pPr>
          </w:p>
          <w:p w14:paraId="1CAFD651" w14:textId="1C563B13" w:rsidR="007B3EA1" w:rsidRPr="001B3407" w:rsidRDefault="00EB0A94" w:rsidP="00CC108E">
            <w:pPr>
              <w:jc w:val="both"/>
              <w:rPr>
                <w:rFonts w:ascii="Gill Sans MT" w:hAnsi="Gill Sans MT" w:cs="Arial"/>
                <w:lang w:val="en-GB"/>
              </w:rPr>
            </w:pPr>
            <w:r w:rsidRPr="00EB0A94">
              <w:rPr>
                <w:rFonts w:ascii="Gill Sans MT" w:hAnsi="Gill Sans MT" w:cs="Arial"/>
                <w:lang w:val="en-GB"/>
              </w:rPr>
              <w:t>In addition, the Process Safety Lead will provide broader HSE support across the organisation, contributing to environmental management, compliance assurance, and the development of a strong, positive safety culture.</w:t>
            </w:r>
          </w:p>
        </w:tc>
      </w:tr>
      <w:tr w:rsidR="00AA083A" w:rsidRPr="009E2A94" w14:paraId="1CAFD65D" w14:textId="77777777" w:rsidTr="42F2F823">
        <w:trPr>
          <w:trHeight w:val="832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1CAFD653" w14:textId="77777777" w:rsidR="00AA083A" w:rsidRPr="009E2A94" w:rsidRDefault="00AA083A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 xml:space="preserve">Organisational </w:t>
            </w:r>
          </w:p>
          <w:p w14:paraId="1CAFD657" w14:textId="711D6531" w:rsidR="004C0EBC" w:rsidRPr="009E2A94" w:rsidRDefault="00AA083A" w:rsidP="004C0EBC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>Structure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center"/>
          </w:tcPr>
          <w:p w14:paraId="109136E2" w14:textId="52FFB25B" w:rsidR="00EB144E" w:rsidRDefault="6EAB41F8" w:rsidP="000D6652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3F077475">
              <w:rPr>
                <w:rFonts w:ascii="Gill Sans MT" w:hAnsi="Gill Sans MT" w:cs="Arial"/>
                <w:lang w:val="en-GB"/>
              </w:rPr>
              <w:t>The role reports to the HSE Manager.</w:t>
            </w:r>
          </w:p>
          <w:p w14:paraId="1CAFD65C" w14:textId="43EA00BD" w:rsidR="00E018EC" w:rsidRPr="009E2A94" w:rsidRDefault="00E018EC" w:rsidP="000D6652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There are no direct reports for this role.</w:t>
            </w:r>
          </w:p>
        </w:tc>
      </w:tr>
      <w:tr w:rsidR="00AA083A" w:rsidRPr="009E2A94" w14:paraId="1CAFD672" w14:textId="77777777" w:rsidTr="00AF6221">
        <w:trPr>
          <w:trHeight w:val="1548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1CAFD661" w14:textId="4E119936" w:rsidR="00AA083A" w:rsidRPr="009E2A94" w:rsidRDefault="00AA083A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>Key Accountabilities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center"/>
          </w:tcPr>
          <w:p w14:paraId="52F449FE" w14:textId="2E4BEB20" w:rsidR="00CF5476" w:rsidRPr="00CF5476" w:rsidRDefault="00CF5476" w:rsidP="00CF5476">
            <w:pPr>
              <w:jc w:val="both"/>
              <w:rPr>
                <w:rFonts w:ascii="Gill Sans MT" w:hAnsi="Gill Sans MT" w:cs="Arial"/>
                <w:b/>
                <w:bCs/>
                <w:lang w:val="en-GB"/>
              </w:rPr>
            </w:pPr>
            <w:r w:rsidRPr="00CF5476">
              <w:rPr>
                <w:rFonts w:ascii="Gill Sans MT" w:hAnsi="Gill Sans MT" w:cs="Arial"/>
                <w:b/>
                <w:bCs/>
                <w:lang w:val="en-GB"/>
              </w:rPr>
              <w:t>Process Safety</w:t>
            </w:r>
            <w:r w:rsidR="00F87F89">
              <w:rPr>
                <w:rFonts w:ascii="Gill Sans MT" w:hAnsi="Gill Sans MT" w:cs="Arial"/>
                <w:b/>
                <w:bCs/>
                <w:lang w:val="en-GB"/>
              </w:rPr>
              <w:t xml:space="preserve"> Leadership</w:t>
            </w:r>
          </w:p>
          <w:p w14:paraId="077485F1" w14:textId="15287A50" w:rsidR="00167449" w:rsidRPr="00167449" w:rsidRDefault="00167449" w:rsidP="00167449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167449">
              <w:rPr>
                <w:rFonts w:ascii="Gill Sans MT" w:hAnsi="Gill Sans MT" w:cs="Arial"/>
                <w:lang w:val="en-GB"/>
              </w:rPr>
              <w:t>Lead the development and implementation of the Process Safety Management (PSM) framework.</w:t>
            </w:r>
          </w:p>
          <w:p w14:paraId="63A451E1" w14:textId="75D223BF" w:rsidR="009A094C" w:rsidRPr="009A094C" w:rsidRDefault="00167449" w:rsidP="009A094C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167449">
              <w:rPr>
                <w:rFonts w:ascii="Gill Sans MT" w:hAnsi="Gill Sans MT" w:cs="Arial"/>
                <w:lang w:val="en-GB"/>
              </w:rPr>
              <w:t xml:space="preserve">Provide technical </w:t>
            </w:r>
            <w:r w:rsidR="00087431">
              <w:rPr>
                <w:rFonts w:ascii="Gill Sans MT" w:hAnsi="Gill Sans MT" w:cs="Arial"/>
                <w:lang w:val="en-GB"/>
              </w:rPr>
              <w:t xml:space="preserve">expertise &amp; </w:t>
            </w:r>
            <w:r w:rsidR="005021F9">
              <w:rPr>
                <w:rFonts w:ascii="Gill Sans MT" w:hAnsi="Gill Sans MT" w:cs="Arial"/>
                <w:lang w:val="en-GB"/>
              </w:rPr>
              <w:t>support</w:t>
            </w:r>
            <w:r w:rsidR="005021F9" w:rsidRPr="00167449">
              <w:rPr>
                <w:rFonts w:ascii="Gill Sans MT" w:hAnsi="Gill Sans MT" w:cs="Arial"/>
                <w:lang w:val="en-GB"/>
              </w:rPr>
              <w:t xml:space="preserve"> </w:t>
            </w:r>
            <w:r w:rsidRPr="00167449">
              <w:rPr>
                <w:rFonts w:ascii="Gill Sans MT" w:hAnsi="Gill Sans MT" w:cs="Arial"/>
                <w:lang w:val="en-GB"/>
              </w:rPr>
              <w:t>on all aspects of process safety to operations,</w:t>
            </w:r>
            <w:r w:rsidR="00433A47">
              <w:rPr>
                <w:rFonts w:ascii="Gill Sans MT" w:hAnsi="Gill Sans MT" w:cs="Arial"/>
                <w:lang w:val="en-GB"/>
              </w:rPr>
              <w:t xml:space="preserve"> maintenance,</w:t>
            </w:r>
            <w:r w:rsidRPr="00167449">
              <w:rPr>
                <w:rFonts w:ascii="Gill Sans MT" w:hAnsi="Gill Sans MT" w:cs="Arial"/>
                <w:lang w:val="en-GB"/>
              </w:rPr>
              <w:t xml:space="preserve"> engineering, and projects.</w:t>
            </w:r>
          </w:p>
          <w:p w14:paraId="621347B2" w14:textId="172507EA" w:rsidR="00167449" w:rsidRDefault="00167449" w:rsidP="00167449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167449">
              <w:rPr>
                <w:rFonts w:ascii="Gill Sans MT" w:hAnsi="Gill Sans MT" w:cs="Arial"/>
                <w:lang w:val="en-GB"/>
              </w:rPr>
              <w:t xml:space="preserve">Develop and maintain the process safety roadmap, KPIs, and performance </w:t>
            </w:r>
            <w:r w:rsidR="00276241" w:rsidRPr="005D45CD">
              <w:rPr>
                <w:rFonts w:ascii="Gill Sans MT" w:hAnsi="Gill Sans MT" w:cs="Arial"/>
                <w:lang w:val="en-GB"/>
              </w:rPr>
              <w:t>indicators (leading and lagging).</w:t>
            </w:r>
          </w:p>
          <w:p w14:paraId="147F24AB" w14:textId="25484F34" w:rsidR="002827CD" w:rsidRDefault="00167449" w:rsidP="00167449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167449">
              <w:rPr>
                <w:rFonts w:ascii="Gill Sans MT" w:hAnsi="Gill Sans MT" w:cs="Arial"/>
                <w:lang w:val="en-GB"/>
              </w:rPr>
              <w:t>Promote and embed a strong process safety culture across the organisation.</w:t>
            </w:r>
          </w:p>
          <w:p w14:paraId="11320440" w14:textId="4266449F" w:rsidR="00D00CDC" w:rsidRPr="00D00CDC" w:rsidRDefault="00D00CDC" w:rsidP="00D00CDC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D00CDC">
              <w:rPr>
                <w:rFonts w:ascii="Gill Sans MT" w:hAnsi="Gill Sans MT" w:cs="Arial"/>
                <w:lang w:val="en-GB"/>
              </w:rPr>
              <w:t>Lead and facilitate hazard identification and risk assessment studies including HAZID, HAZOP, LOPA, SIL, and other quantitative and qualitative techniques.</w:t>
            </w:r>
            <w:r w:rsidR="00BB1494">
              <w:rPr>
                <w:rFonts w:ascii="Gill Sans MT" w:hAnsi="Gill Sans MT" w:cs="Arial"/>
                <w:lang w:val="en-GB"/>
              </w:rPr>
              <w:t xml:space="preserve"> </w:t>
            </w:r>
          </w:p>
          <w:p w14:paraId="402DF137" w14:textId="0203FAEF" w:rsidR="00D00CDC" w:rsidRDefault="00D00CDC" w:rsidP="00D00CDC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D00CDC">
              <w:rPr>
                <w:rFonts w:ascii="Gill Sans MT" w:hAnsi="Gill Sans MT" w:cs="Arial"/>
                <w:lang w:val="en-GB"/>
              </w:rPr>
              <w:t>Support development and review of risk registers, safety studies, and cost-benefit analyses.</w:t>
            </w:r>
          </w:p>
          <w:p w14:paraId="4751A458" w14:textId="3D57DE75" w:rsidR="00F576CB" w:rsidRPr="00F576CB" w:rsidRDefault="00F576CB" w:rsidP="00F576CB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F576CB">
              <w:rPr>
                <w:rFonts w:ascii="Gill Sans MT" w:hAnsi="Gill Sans MT" w:cs="Arial"/>
                <w:lang w:val="en-GB"/>
              </w:rPr>
              <w:t>Provide process safety input throughout project lifecycle stages (concept, FEED, design, construction, commissioning).</w:t>
            </w:r>
          </w:p>
          <w:p w14:paraId="68C6CA1F" w14:textId="59B2E83D" w:rsidR="00F576CB" w:rsidRDefault="00F576CB" w:rsidP="00F576CB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F576CB">
              <w:rPr>
                <w:rFonts w:ascii="Gill Sans MT" w:hAnsi="Gill Sans MT" w:cs="Arial"/>
                <w:lang w:val="en-GB"/>
              </w:rPr>
              <w:t>Ensure process safety requirements are fully integrated into engineering standards and design deliverables.</w:t>
            </w:r>
          </w:p>
          <w:p w14:paraId="251B2DC4" w14:textId="7332276A" w:rsidR="00646BA1" w:rsidRPr="00646BA1" w:rsidRDefault="00646BA1" w:rsidP="00646BA1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646BA1">
              <w:rPr>
                <w:rFonts w:ascii="Gill Sans MT" w:hAnsi="Gill Sans MT" w:cs="Arial"/>
                <w:lang w:val="en-GB"/>
              </w:rPr>
              <w:t>Define and maintain the barrier management framework, including identification of safety critical elements (SCEs).</w:t>
            </w:r>
          </w:p>
          <w:p w14:paraId="1EB77892" w14:textId="5C478876" w:rsidR="00646BA1" w:rsidRPr="00646BA1" w:rsidRDefault="00646BA1" w:rsidP="00646BA1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646BA1">
              <w:rPr>
                <w:rFonts w:ascii="Gill Sans MT" w:hAnsi="Gill Sans MT" w:cs="Arial"/>
                <w:lang w:val="en-GB"/>
              </w:rPr>
              <w:t>Monitor and report on barrier health and asset integrity performance.</w:t>
            </w:r>
          </w:p>
          <w:p w14:paraId="715D4206" w14:textId="4C90251E" w:rsidR="00E136AB" w:rsidRPr="00E136AB" w:rsidRDefault="00E136AB" w:rsidP="00E136AB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136AB">
              <w:rPr>
                <w:rFonts w:ascii="Gill Sans MT" w:hAnsi="Gill Sans MT" w:cs="Arial"/>
                <w:lang w:val="en-GB"/>
              </w:rPr>
              <w:t>Govern and support the Management of Change (</w:t>
            </w:r>
            <w:proofErr w:type="spellStart"/>
            <w:r w:rsidRPr="00E136AB">
              <w:rPr>
                <w:rFonts w:ascii="Gill Sans MT" w:hAnsi="Gill Sans MT" w:cs="Arial"/>
                <w:lang w:val="en-GB"/>
              </w:rPr>
              <w:t>MoC</w:t>
            </w:r>
            <w:proofErr w:type="spellEnd"/>
            <w:r w:rsidRPr="00E136AB">
              <w:rPr>
                <w:rFonts w:ascii="Gill Sans MT" w:hAnsi="Gill Sans MT" w:cs="Arial"/>
                <w:lang w:val="en-GB"/>
              </w:rPr>
              <w:t>) process to ensure risks are identified, assessed, and controlled.</w:t>
            </w:r>
          </w:p>
          <w:p w14:paraId="10EB9A1F" w14:textId="459DBFC3" w:rsidR="002E3D01" w:rsidRPr="002E3D01" w:rsidRDefault="002E3D01" w:rsidP="00D946F2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2E3D01">
              <w:rPr>
                <w:rFonts w:ascii="Gill Sans MT" w:hAnsi="Gill Sans MT" w:cs="Arial"/>
                <w:lang w:val="en-GB"/>
              </w:rPr>
              <w:t>Lead or support investigations into process safety incidents and high-potential events.</w:t>
            </w:r>
            <w:r w:rsidR="00970F97" w:rsidRPr="00970F97">
              <w:rPr>
                <w:rFonts w:ascii="Gill Sans MT" w:hAnsi="Gill Sans MT" w:cs="Arial"/>
                <w:lang w:val="en-GB"/>
              </w:rPr>
              <w:t xml:space="preserve">  </w:t>
            </w:r>
            <w:r w:rsidRPr="002E3D01">
              <w:rPr>
                <w:rFonts w:ascii="Gill Sans MT" w:hAnsi="Gill Sans MT" w:cs="Arial"/>
                <w:lang w:val="en-GB"/>
              </w:rPr>
              <w:t>Apply root cause analysis techniques and ensure effective learning is captured and shared.</w:t>
            </w:r>
            <w:r w:rsidR="00E40394">
              <w:rPr>
                <w:rFonts w:ascii="Gill Sans MT" w:hAnsi="Gill Sans MT" w:cs="Arial"/>
                <w:lang w:val="en-GB"/>
              </w:rPr>
              <w:t xml:space="preserve"> </w:t>
            </w:r>
          </w:p>
          <w:p w14:paraId="1C7CD1E0" w14:textId="2885771D" w:rsidR="008A361F" w:rsidRPr="008A361F" w:rsidRDefault="008A361F" w:rsidP="008A361F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Support</w:t>
            </w:r>
            <w:r w:rsidRPr="008A361F">
              <w:rPr>
                <w:rFonts w:ascii="Gill Sans MT" w:hAnsi="Gill Sans MT" w:cs="Arial"/>
                <w:lang w:val="en-GB"/>
              </w:rPr>
              <w:t xml:space="preserve"> the development, review, and maintenance of the COMAH Safety Report.</w:t>
            </w:r>
          </w:p>
          <w:p w14:paraId="7B8C44F4" w14:textId="55852655" w:rsidR="008A361F" w:rsidRPr="008A361F" w:rsidRDefault="008A361F" w:rsidP="008A361F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8A361F">
              <w:rPr>
                <w:rFonts w:ascii="Gill Sans MT" w:hAnsi="Gill Sans MT" w:cs="Arial"/>
                <w:lang w:val="en-GB"/>
              </w:rPr>
              <w:t>Ensure compliance with all relevant process safety legislation, standards, and best practices.</w:t>
            </w:r>
          </w:p>
          <w:p w14:paraId="1CE751EE" w14:textId="0B7842EB" w:rsidR="008A361F" w:rsidRDefault="008A361F" w:rsidP="008A361F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8A361F">
              <w:rPr>
                <w:rFonts w:ascii="Gill Sans MT" w:hAnsi="Gill Sans MT" w:cs="Arial"/>
                <w:lang w:val="en-GB"/>
              </w:rPr>
              <w:lastRenderedPageBreak/>
              <w:t>Act as a key interface with regulators and support Competent Authority inspections and interventions.</w:t>
            </w:r>
          </w:p>
          <w:p w14:paraId="531C1DA2" w14:textId="38592690" w:rsidR="005D45CD" w:rsidRPr="005D45CD" w:rsidRDefault="005D45CD" w:rsidP="005D45CD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5D45CD">
              <w:rPr>
                <w:rFonts w:ascii="Gill Sans MT" w:hAnsi="Gill Sans MT" w:cs="Arial"/>
                <w:lang w:val="en-GB"/>
              </w:rPr>
              <w:t>Conduct and support audits, inspections, and assurance activities.</w:t>
            </w:r>
          </w:p>
          <w:p w14:paraId="5812603C" w14:textId="5F70B43B" w:rsidR="005D45CD" w:rsidRDefault="005D45CD" w:rsidP="005D45CD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5D45CD">
              <w:rPr>
                <w:rFonts w:ascii="Gill Sans MT" w:hAnsi="Gill Sans MT" w:cs="Arial"/>
                <w:lang w:val="en-GB"/>
              </w:rPr>
              <w:t>Identify trends and drive continuous improvement initiatives.</w:t>
            </w:r>
          </w:p>
          <w:p w14:paraId="127184D9" w14:textId="4F58BE53" w:rsidR="00E60A36" w:rsidRPr="00E60A36" w:rsidRDefault="00E60A36" w:rsidP="00E60A36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60A36">
              <w:rPr>
                <w:rFonts w:ascii="Gill Sans MT" w:hAnsi="Gill Sans MT" w:cs="Arial"/>
                <w:lang w:val="en-GB"/>
              </w:rPr>
              <w:t>Provide governance on human factors integration within process safety.</w:t>
            </w:r>
          </w:p>
          <w:p w14:paraId="28022AD0" w14:textId="6FA68B27" w:rsidR="00E60A36" w:rsidRPr="00E60A36" w:rsidRDefault="00E60A36" w:rsidP="00E60A36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60A36">
              <w:rPr>
                <w:rFonts w:ascii="Gill Sans MT" w:hAnsi="Gill Sans MT" w:cs="Arial"/>
                <w:lang w:val="en-GB"/>
              </w:rPr>
              <w:t>Support alarm management strategies to ensure effective operator response and minimise alarm fatigue.</w:t>
            </w:r>
          </w:p>
          <w:p w14:paraId="571CEFCB" w14:textId="511FAD5D" w:rsidR="00E60A36" w:rsidRDefault="00E60A36" w:rsidP="00E60A36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60A36">
              <w:rPr>
                <w:rFonts w:ascii="Gill Sans MT" w:hAnsi="Gill Sans MT" w:cs="Arial"/>
                <w:lang w:val="en-GB"/>
              </w:rPr>
              <w:t>Promote consideration of human performance in design and operational risk management.</w:t>
            </w:r>
          </w:p>
          <w:p w14:paraId="429591C1" w14:textId="72B9A5DC" w:rsidR="005D45CD" w:rsidRPr="005D45CD" w:rsidRDefault="005D45CD" w:rsidP="005D45CD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5D45CD">
              <w:rPr>
                <w:rFonts w:ascii="Gill Sans MT" w:hAnsi="Gill Sans MT" w:cs="Arial"/>
                <w:lang w:val="en-GB"/>
              </w:rPr>
              <w:t>Support development and continuous improvement of emergency response plans, including COMAH requirements.</w:t>
            </w:r>
          </w:p>
          <w:p w14:paraId="56168639" w14:textId="5CA11C56" w:rsidR="005D45CD" w:rsidRPr="00167449" w:rsidRDefault="005D45CD" w:rsidP="005D45CD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5D45CD">
              <w:rPr>
                <w:rFonts w:ascii="Gill Sans MT" w:hAnsi="Gill Sans MT" w:cs="Arial"/>
                <w:lang w:val="en-GB"/>
              </w:rPr>
              <w:t>Provide technical input into major accident hazard scenarios and response strategies.</w:t>
            </w:r>
          </w:p>
          <w:p w14:paraId="0D2B3536" w14:textId="77777777" w:rsidR="00167449" w:rsidRDefault="00167449" w:rsidP="00926E33">
            <w:pPr>
              <w:jc w:val="both"/>
              <w:rPr>
                <w:rFonts w:ascii="Gill Sans MT" w:hAnsi="Gill Sans MT" w:cs="Arial"/>
                <w:b/>
                <w:bCs/>
                <w:lang w:val="en-GB"/>
              </w:rPr>
            </w:pPr>
          </w:p>
          <w:p w14:paraId="5E416279" w14:textId="18B259C9" w:rsidR="00926E33" w:rsidRPr="00926E33" w:rsidRDefault="00926E33" w:rsidP="00926E33">
            <w:pPr>
              <w:jc w:val="both"/>
              <w:rPr>
                <w:rFonts w:ascii="Gill Sans MT" w:hAnsi="Gill Sans MT" w:cs="Arial"/>
                <w:b/>
                <w:bCs/>
                <w:lang w:val="en-GB"/>
              </w:rPr>
            </w:pPr>
            <w:r w:rsidRPr="00926E33">
              <w:rPr>
                <w:rFonts w:ascii="Gill Sans MT" w:hAnsi="Gill Sans MT" w:cs="Arial"/>
                <w:b/>
                <w:bCs/>
                <w:lang w:val="en-GB"/>
              </w:rPr>
              <w:t>Projects</w:t>
            </w:r>
          </w:p>
          <w:p w14:paraId="08540540" w14:textId="286FCA94" w:rsidR="00EF7B34" w:rsidRPr="00EF7B34" w:rsidRDefault="00EF7B34" w:rsidP="00EF7B34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F7B34">
              <w:rPr>
                <w:rFonts w:ascii="Gill Sans MT" w:hAnsi="Gill Sans MT" w:cs="Arial"/>
                <w:lang w:val="en-GB"/>
              </w:rPr>
              <w:t>Ensure integration of HSE and process safety requirements into project execution and contractor management.</w:t>
            </w:r>
          </w:p>
          <w:p w14:paraId="539CE4B1" w14:textId="77777777" w:rsidR="00EF7B34" w:rsidRDefault="00EF7B34" w:rsidP="00EF7B34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F7B34">
              <w:rPr>
                <w:rFonts w:ascii="Gill Sans MT" w:hAnsi="Gill Sans MT" w:cs="Arial"/>
                <w:lang w:val="en-GB"/>
              </w:rPr>
              <w:t>Review and approve safety documentation (risk assessments, method statements, safety plans).</w:t>
            </w:r>
          </w:p>
          <w:p w14:paraId="39FF4396" w14:textId="75FBB007" w:rsidR="00CF5476" w:rsidRPr="00EF7B34" w:rsidRDefault="00EF7B34" w:rsidP="00EF7B34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F7B34">
              <w:rPr>
                <w:rFonts w:ascii="Gill Sans MT" w:hAnsi="Gill Sans MT" w:cs="Arial"/>
                <w:lang w:val="en-GB"/>
              </w:rPr>
              <w:t>Provide oversight of site project activities to ensure compliance with safe systems of work.</w:t>
            </w:r>
          </w:p>
          <w:p w14:paraId="5BA87034" w14:textId="0B0248EB" w:rsidR="00E5190F" w:rsidRDefault="00E5190F" w:rsidP="00E47ADF">
            <w:pPr>
              <w:jc w:val="both"/>
              <w:rPr>
                <w:rFonts w:ascii="Gill Sans MT" w:hAnsi="Gill Sans MT" w:cs="Arial"/>
                <w:b/>
                <w:bCs/>
                <w:lang w:val="en-GB"/>
              </w:rPr>
            </w:pPr>
          </w:p>
          <w:p w14:paraId="621A5601" w14:textId="57E08703" w:rsidR="00926E33" w:rsidRPr="00926E33" w:rsidRDefault="00926E33" w:rsidP="00926E33">
            <w:pPr>
              <w:jc w:val="both"/>
              <w:rPr>
                <w:rFonts w:ascii="Gill Sans MT" w:hAnsi="Gill Sans MT" w:cs="Arial"/>
                <w:b/>
                <w:bCs/>
                <w:lang w:val="en-GB"/>
              </w:rPr>
            </w:pPr>
            <w:r w:rsidRPr="00926E33">
              <w:rPr>
                <w:rFonts w:ascii="Gill Sans MT" w:hAnsi="Gill Sans MT" w:cs="Arial"/>
                <w:b/>
                <w:bCs/>
                <w:lang w:val="en-GB"/>
              </w:rPr>
              <w:t>Compliance</w:t>
            </w:r>
            <w:r w:rsidR="00E526E6">
              <w:rPr>
                <w:rFonts w:ascii="Gill Sans MT" w:hAnsi="Gill Sans MT" w:cs="Arial"/>
                <w:b/>
                <w:bCs/>
                <w:lang w:val="en-GB"/>
              </w:rPr>
              <w:t xml:space="preserve"> Management</w:t>
            </w:r>
          </w:p>
          <w:p w14:paraId="1621CA9A" w14:textId="3B044BBE" w:rsidR="00E5190F" w:rsidRPr="00E5190F" w:rsidRDefault="00E5190F" w:rsidP="00E5190F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5190F">
              <w:rPr>
                <w:rFonts w:ascii="Gill Sans MT" w:hAnsi="Gill Sans MT" w:cs="Arial"/>
                <w:lang w:val="en-GB"/>
              </w:rPr>
              <w:t>Ensure compliance with applicable legislation, company standards, and industry best practices.</w:t>
            </w:r>
          </w:p>
          <w:p w14:paraId="296629B9" w14:textId="494530BD" w:rsidR="00E5190F" w:rsidRPr="00E5190F" w:rsidRDefault="00E5190F" w:rsidP="00E5190F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5190F">
              <w:rPr>
                <w:rFonts w:ascii="Gill Sans MT" w:hAnsi="Gill Sans MT" w:cs="Arial"/>
                <w:lang w:val="en-GB"/>
              </w:rPr>
              <w:t>Maintain awareness of regulatory changes and communicate impacts to the organisation.</w:t>
            </w:r>
          </w:p>
          <w:p w14:paraId="31D8456C" w14:textId="77777777" w:rsidR="00E5190F" w:rsidRDefault="00E5190F" w:rsidP="00E5190F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5190F">
              <w:rPr>
                <w:rFonts w:ascii="Gill Sans MT" w:hAnsi="Gill Sans MT" w:cs="Arial"/>
                <w:lang w:val="en-GB"/>
              </w:rPr>
              <w:t>Support development and continuous improvement of management systems.</w:t>
            </w:r>
          </w:p>
          <w:p w14:paraId="3D8F4204" w14:textId="486DA824" w:rsidR="003202EA" w:rsidRPr="00E5190F" w:rsidRDefault="00E5190F" w:rsidP="00E5190F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5190F">
              <w:rPr>
                <w:rFonts w:ascii="Gill Sans MT" w:hAnsi="Gill Sans MT" w:cs="Arial"/>
                <w:lang w:val="en-GB"/>
              </w:rPr>
              <w:t>Review incident trends and implement improvement plans.</w:t>
            </w:r>
          </w:p>
          <w:p w14:paraId="0B46ECDF" w14:textId="77777777" w:rsidR="00E5190F" w:rsidRDefault="00E5190F" w:rsidP="00C35898">
            <w:pPr>
              <w:jc w:val="both"/>
              <w:rPr>
                <w:rFonts w:ascii="Gill Sans MT" w:hAnsi="Gill Sans MT" w:cs="Arial"/>
                <w:b/>
                <w:bCs/>
                <w:lang w:val="en-GB"/>
              </w:rPr>
            </w:pPr>
          </w:p>
          <w:p w14:paraId="1A710FD4" w14:textId="50EC10A2" w:rsidR="00C35898" w:rsidRPr="00926E33" w:rsidRDefault="00C35898" w:rsidP="00C35898">
            <w:pPr>
              <w:jc w:val="both"/>
              <w:rPr>
                <w:rFonts w:ascii="Gill Sans MT" w:hAnsi="Gill Sans MT" w:cs="Arial"/>
                <w:b/>
                <w:bCs/>
                <w:lang w:val="en-GB"/>
              </w:rPr>
            </w:pPr>
            <w:r>
              <w:rPr>
                <w:rFonts w:ascii="Gill Sans MT" w:hAnsi="Gill Sans MT" w:cs="Arial"/>
                <w:b/>
                <w:bCs/>
                <w:lang w:val="en-GB"/>
              </w:rPr>
              <w:t>HSE Leadership:</w:t>
            </w:r>
          </w:p>
          <w:p w14:paraId="3A3F27A9" w14:textId="3ABB35DA" w:rsidR="002F1406" w:rsidRDefault="002F1406" w:rsidP="00C35898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 xml:space="preserve">Deputise for the HSE Manager as </w:t>
            </w:r>
            <w:r w:rsidR="3433CE5A" w:rsidRPr="0449CAFB">
              <w:rPr>
                <w:rFonts w:ascii="Gill Sans MT" w:hAnsi="Gill Sans MT" w:cs="Arial"/>
                <w:lang w:val="en-GB"/>
              </w:rPr>
              <w:t>an</w:t>
            </w:r>
            <w:r w:rsidR="3108FCFE" w:rsidRPr="0449CAFB">
              <w:rPr>
                <w:rFonts w:ascii="Gill Sans MT" w:hAnsi="Gill Sans MT" w:cs="Arial"/>
                <w:lang w:val="en-GB"/>
              </w:rPr>
              <w:t>d</w:t>
            </w:r>
            <w:r>
              <w:rPr>
                <w:rFonts w:ascii="Gill Sans MT" w:hAnsi="Gill Sans MT" w:cs="Arial"/>
                <w:lang w:val="en-GB"/>
              </w:rPr>
              <w:t xml:space="preserve"> when required.</w:t>
            </w:r>
          </w:p>
          <w:p w14:paraId="7E8FECFC" w14:textId="669DA571" w:rsidR="00C35898" w:rsidRPr="00926E33" w:rsidRDefault="7B23BADE" w:rsidP="00C35898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3F077475">
              <w:rPr>
                <w:rFonts w:ascii="Gill Sans MT" w:hAnsi="Gill Sans MT" w:cs="Arial"/>
                <w:lang w:val="en-GB"/>
              </w:rPr>
              <w:t xml:space="preserve">Advise the Leadership Team and across the organisation on </w:t>
            </w:r>
            <w:r w:rsidR="00936160">
              <w:rPr>
                <w:rFonts w:ascii="Gill Sans MT" w:hAnsi="Gill Sans MT" w:cs="Arial"/>
                <w:lang w:val="en-GB"/>
              </w:rPr>
              <w:t>p</w:t>
            </w:r>
            <w:r w:rsidR="00AF6221">
              <w:rPr>
                <w:rFonts w:ascii="Gill Sans MT" w:hAnsi="Gill Sans MT" w:cs="Arial"/>
                <w:lang w:val="en-GB"/>
              </w:rPr>
              <w:t xml:space="preserve">rocess </w:t>
            </w:r>
            <w:r w:rsidR="00936160">
              <w:rPr>
                <w:rFonts w:ascii="Gill Sans MT" w:hAnsi="Gill Sans MT" w:cs="Arial"/>
                <w:lang w:val="en-GB"/>
              </w:rPr>
              <w:t>s</w:t>
            </w:r>
            <w:r w:rsidR="00AF6221">
              <w:rPr>
                <w:rFonts w:ascii="Gill Sans MT" w:hAnsi="Gill Sans MT" w:cs="Arial"/>
                <w:lang w:val="en-GB"/>
              </w:rPr>
              <w:t>afety</w:t>
            </w:r>
            <w:r w:rsidRPr="3F077475">
              <w:rPr>
                <w:rFonts w:ascii="Gill Sans MT" w:hAnsi="Gill Sans MT" w:cs="Arial"/>
                <w:lang w:val="en-GB"/>
              </w:rPr>
              <w:t xml:space="preserve"> matters in a timely and accurate manner.</w:t>
            </w:r>
          </w:p>
          <w:p w14:paraId="72836CF0" w14:textId="10772267" w:rsidR="00C35898" w:rsidRDefault="00C35898" w:rsidP="00C35898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926E33">
              <w:rPr>
                <w:rFonts w:ascii="Gill Sans MT" w:hAnsi="Gill Sans MT" w:cs="Arial"/>
                <w:lang w:val="en-GB"/>
              </w:rPr>
              <w:t xml:space="preserve">Provide training, mentoring, and coaching on </w:t>
            </w:r>
            <w:r w:rsidR="00936160">
              <w:rPr>
                <w:rFonts w:ascii="Gill Sans MT" w:hAnsi="Gill Sans MT" w:cs="Arial"/>
                <w:lang w:val="en-GB"/>
              </w:rPr>
              <w:t>p</w:t>
            </w:r>
            <w:r w:rsidR="00AF6221">
              <w:rPr>
                <w:rFonts w:ascii="Gill Sans MT" w:hAnsi="Gill Sans MT" w:cs="Arial"/>
                <w:lang w:val="en-GB"/>
              </w:rPr>
              <w:t xml:space="preserve">rocess </w:t>
            </w:r>
            <w:r w:rsidR="00936160">
              <w:rPr>
                <w:rFonts w:ascii="Gill Sans MT" w:hAnsi="Gill Sans MT" w:cs="Arial"/>
                <w:lang w:val="en-GB"/>
              </w:rPr>
              <w:t>s</w:t>
            </w:r>
            <w:r w:rsidR="00AF6221">
              <w:rPr>
                <w:rFonts w:ascii="Gill Sans MT" w:hAnsi="Gill Sans MT" w:cs="Arial"/>
                <w:lang w:val="en-GB"/>
              </w:rPr>
              <w:t>afety</w:t>
            </w:r>
            <w:r w:rsidRPr="00926E33">
              <w:rPr>
                <w:rFonts w:ascii="Gill Sans MT" w:hAnsi="Gill Sans MT" w:cs="Arial"/>
                <w:lang w:val="en-GB"/>
              </w:rPr>
              <w:t xml:space="preserve"> topics and support competency development</w:t>
            </w:r>
            <w:r>
              <w:rPr>
                <w:rFonts w:ascii="Gill Sans MT" w:hAnsi="Gill Sans MT" w:cs="Arial"/>
                <w:lang w:val="en-GB"/>
              </w:rPr>
              <w:t xml:space="preserve"> across the organisation</w:t>
            </w:r>
            <w:r w:rsidRPr="00926E33">
              <w:rPr>
                <w:rFonts w:ascii="Gill Sans MT" w:hAnsi="Gill Sans MT" w:cs="Arial"/>
                <w:lang w:val="en-GB"/>
              </w:rPr>
              <w:t>.</w:t>
            </w:r>
          </w:p>
          <w:p w14:paraId="3C656F71" w14:textId="22A5867D" w:rsidR="00C35898" w:rsidRDefault="001C63C3" w:rsidP="00B250BE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AC6F5A">
              <w:rPr>
                <w:rFonts w:ascii="Gill Sans MT" w:hAnsi="Gill Sans MT" w:cs="Arial"/>
                <w:lang w:val="en-GB"/>
              </w:rPr>
              <w:t>Support the development of skills and knowledge within the HSE team through coaching and mentoring.</w:t>
            </w:r>
          </w:p>
          <w:p w14:paraId="73C488EB" w14:textId="403C6F05" w:rsidR="002B6A8E" w:rsidRDefault="002B6A8E" w:rsidP="00B250BE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449CAFB">
              <w:rPr>
                <w:rFonts w:ascii="Gill Sans MT" w:hAnsi="Gill Sans MT" w:cs="Arial"/>
                <w:lang w:val="en-GB"/>
              </w:rPr>
              <w:t>Provide support within the HSE team with the Environmental Management System</w:t>
            </w:r>
            <w:r>
              <w:rPr>
                <w:rFonts w:ascii="Gill Sans MT" w:hAnsi="Gill Sans MT" w:cs="Arial"/>
                <w:lang w:val="en-GB"/>
              </w:rPr>
              <w:t>.</w:t>
            </w:r>
          </w:p>
          <w:p w14:paraId="0391FF69" w14:textId="77777777" w:rsidR="00800788" w:rsidRDefault="009E595C" w:rsidP="00800788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3202EA">
              <w:rPr>
                <w:rFonts w:ascii="Gill Sans MT" w:hAnsi="Gill Sans MT" w:cs="Arial"/>
                <w:lang w:val="en-GB"/>
              </w:rPr>
              <w:t xml:space="preserve">Undertake any other tasks </w:t>
            </w:r>
            <w:r w:rsidR="003202EA">
              <w:rPr>
                <w:rFonts w:ascii="Gill Sans MT" w:hAnsi="Gill Sans MT" w:cs="Arial"/>
                <w:lang w:val="en-GB"/>
              </w:rPr>
              <w:t xml:space="preserve">the business requires </w:t>
            </w:r>
            <w:r w:rsidRPr="003202EA">
              <w:rPr>
                <w:rFonts w:ascii="Gill Sans MT" w:hAnsi="Gill Sans MT" w:cs="Arial"/>
                <w:lang w:val="en-GB"/>
              </w:rPr>
              <w:t>commensurate with skills, qualifications and experience.</w:t>
            </w:r>
          </w:p>
          <w:p w14:paraId="1CAFD671" w14:textId="5A0B8B86" w:rsidR="00800788" w:rsidRPr="00800788" w:rsidRDefault="00800788" w:rsidP="00D61299">
            <w:pPr>
              <w:pStyle w:val="ListParagraph"/>
              <w:ind w:left="424"/>
              <w:jc w:val="both"/>
              <w:rPr>
                <w:rFonts w:ascii="Gill Sans MT" w:hAnsi="Gill Sans MT" w:cs="Arial"/>
                <w:lang w:val="en-GB"/>
              </w:rPr>
            </w:pPr>
          </w:p>
        </w:tc>
      </w:tr>
      <w:tr w:rsidR="00281AA0" w:rsidRPr="009E2A94" w14:paraId="527D3104" w14:textId="77777777" w:rsidTr="42F2F823">
        <w:trPr>
          <w:trHeight w:val="1464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4B663F66" w14:textId="779B0671" w:rsidR="00D32226" w:rsidRPr="003931F1" w:rsidRDefault="005C2804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lastRenderedPageBreak/>
              <w:t>Change Authority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center"/>
          </w:tcPr>
          <w:p w14:paraId="60568C4D" w14:textId="77777777" w:rsidR="00E916E2" w:rsidRPr="00E916E2" w:rsidRDefault="00E916E2" w:rsidP="00E916E2">
            <w:pPr>
              <w:jc w:val="both"/>
              <w:rPr>
                <w:rFonts w:ascii="Gill Sans MT" w:hAnsi="Gill Sans MT" w:cs="Arial"/>
                <w:lang w:val="en-GB"/>
              </w:rPr>
            </w:pPr>
            <w:r w:rsidRPr="00E916E2">
              <w:rPr>
                <w:rFonts w:ascii="Gill Sans MT" w:hAnsi="Gill Sans MT" w:cs="Arial"/>
                <w:lang w:val="en-GB"/>
              </w:rPr>
              <w:t xml:space="preserve">Demonstrate visible leadership skills and accountability to: </w:t>
            </w:r>
          </w:p>
          <w:p w14:paraId="73513DA3" w14:textId="49F5307A" w:rsidR="00E916E2" w:rsidRPr="00E916E2" w:rsidRDefault="00E916E2" w:rsidP="00E916E2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I</w:t>
            </w:r>
            <w:r w:rsidRPr="00E916E2">
              <w:rPr>
                <w:rFonts w:ascii="Gill Sans MT" w:hAnsi="Gill Sans MT" w:cs="Arial"/>
                <w:lang w:val="en-GB"/>
              </w:rPr>
              <w:t xml:space="preserve">mprove the effectiveness of HSE </w:t>
            </w:r>
            <w:r w:rsidR="00417A52">
              <w:rPr>
                <w:rFonts w:ascii="Gill Sans MT" w:hAnsi="Gill Sans MT" w:cs="Arial"/>
                <w:lang w:val="en-GB"/>
              </w:rPr>
              <w:t xml:space="preserve">and </w:t>
            </w:r>
            <w:r w:rsidR="00936160">
              <w:rPr>
                <w:rFonts w:ascii="Gill Sans MT" w:hAnsi="Gill Sans MT" w:cs="Arial"/>
                <w:lang w:val="en-GB"/>
              </w:rPr>
              <w:t>p</w:t>
            </w:r>
            <w:r w:rsidR="00417A52">
              <w:rPr>
                <w:rFonts w:ascii="Gill Sans MT" w:hAnsi="Gill Sans MT" w:cs="Arial"/>
                <w:lang w:val="en-GB"/>
              </w:rPr>
              <w:t xml:space="preserve">rocess </w:t>
            </w:r>
            <w:r w:rsidR="00936160">
              <w:rPr>
                <w:rFonts w:ascii="Gill Sans MT" w:hAnsi="Gill Sans MT" w:cs="Arial"/>
                <w:lang w:val="en-GB"/>
              </w:rPr>
              <w:t>s</w:t>
            </w:r>
            <w:r w:rsidR="00417A52">
              <w:rPr>
                <w:rFonts w:ascii="Gill Sans MT" w:hAnsi="Gill Sans MT" w:cs="Arial"/>
                <w:lang w:val="en-GB"/>
              </w:rPr>
              <w:t xml:space="preserve">afety </w:t>
            </w:r>
            <w:r w:rsidRPr="00E916E2">
              <w:rPr>
                <w:rFonts w:ascii="Gill Sans MT" w:hAnsi="Gill Sans MT" w:cs="Arial"/>
                <w:lang w:val="en-GB"/>
              </w:rPr>
              <w:t>management</w:t>
            </w:r>
            <w:r>
              <w:rPr>
                <w:rFonts w:ascii="Gill Sans MT" w:hAnsi="Gill Sans MT" w:cs="Arial"/>
                <w:lang w:val="en-GB"/>
              </w:rPr>
              <w:t>.</w:t>
            </w:r>
          </w:p>
          <w:p w14:paraId="2C9B078B" w14:textId="71B33327" w:rsidR="00340F64" w:rsidRPr="00E916E2" w:rsidRDefault="5B6119FF" w:rsidP="00E916E2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3F077475">
              <w:rPr>
                <w:rFonts w:ascii="Gill Sans MT" w:hAnsi="Gill Sans MT" w:cs="Arial"/>
                <w:lang w:val="en-GB"/>
              </w:rPr>
              <w:t>Encourage every individual to look after their own health and safety and those around them to ‘do the right job</w:t>
            </w:r>
            <w:r w:rsidR="3B9172CF" w:rsidRPr="3F077475">
              <w:rPr>
                <w:rFonts w:ascii="Gill Sans MT" w:hAnsi="Gill Sans MT" w:cs="Arial"/>
                <w:lang w:val="en-GB"/>
              </w:rPr>
              <w:t>,</w:t>
            </w:r>
            <w:r w:rsidRPr="3F077475">
              <w:rPr>
                <w:rFonts w:ascii="Gill Sans MT" w:hAnsi="Gill Sans MT" w:cs="Arial"/>
                <w:lang w:val="en-GB"/>
              </w:rPr>
              <w:t xml:space="preserve"> the right way</w:t>
            </w:r>
            <w:r w:rsidR="4CA17AD3" w:rsidRPr="3F077475">
              <w:rPr>
                <w:rFonts w:ascii="Gill Sans MT" w:hAnsi="Gill Sans MT" w:cs="Arial"/>
                <w:lang w:val="en-GB"/>
              </w:rPr>
              <w:t>,</w:t>
            </w:r>
            <w:r w:rsidRPr="3F077475">
              <w:rPr>
                <w:rFonts w:ascii="Gill Sans MT" w:hAnsi="Gill Sans MT" w:cs="Arial"/>
                <w:lang w:val="en-GB"/>
              </w:rPr>
              <w:t xml:space="preserve"> every time’. </w:t>
            </w:r>
          </w:p>
        </w:tc>
      </w:tr>
      <w:tr w:rsidR="00281AA0" w:rsidRPr="009E2A94" w14:paraId="1B822F02" w14:textId="77777777" w:rsidTr="42F2F823">
        <w:trPr>
          <w:trHeight w:val="1411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2335C3C6" w14:textId="19D43F4C" w:rsidR="00281AA0" w:rsidRPr="009E2A94" w:rsidRDefault="00313809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>Authorit</w:t>
            </w:r>
            <w:r w:rsidR="005B41DE" w:rsidRPr="009E2A94">
              <w:rPr>
                <w:rFonts w:ascii="Gill Sans MT" w:hAnsi="Gill Sans MT" w:cs="Arial"/>
                <w:b/>
                <w:lang w:val="en-GB"/>
              </w:rPr>
              <w:t>y</w:t>
            </w:r>
            <w:r w:rsidRPr="009E2A94">
              <w:rPr>
                <w:rFonts w:ascii="Gill Sans MT" w:hAnsi="Gill Sans MT" w:cs="Arial"/>
                <w:b/>
                <w:lang w:val="en-GB"/>
              </w:rPr>
              <w:t xml:space="preserve"> / Influences</w:t>
            </w:r>
            <w:r w:rsidR="005B41DE" w:rsidRPr="009E2A94">
              <w:rPr>
                <w:rFonts w:ascii="Gill Sans MT" w:hAnsi="Gill Sans MT" w:cs="Arial"/>
                <w:b/>
                <w:lang w:val="en-GB"/>
              </w:rPr>
              <w:t xml:space="preserve"> over Resources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center"/>
          </w:tcPr>
          <w:p w14:paraId="32B49D06" w14:textId="07E0D79F" w:rsidR="00EC6651" w:rsidRPr="00EC6651" w:rsidRDefault="00EC6651" w:rsidP="00EC6651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C6651">
              <w:rPr>
                <w:rFonts w:ascii="Gill Sans MT" w:hAnsi="Gill Sans MT" w:cs="Arial"/>
                <w:lang w:val="en-GB"/>
              </w:rPr>
              <w:t xml:space="preserve">Contribute to the development of the budget for the HSE </w:t>
            </w:r>
            <w:r>
              <w:rPr>
                <w:rFonts w:ascii="Gill Sans MT" w:hAnsi="Gill Sans MT" w:cs="Arial"/>
                <w:lang w:val="en-GB"/>
              </w:rPr>
              <w:t>department</w:t>
            </w:r>
            <w:r w:rsidRPr="00EC6651">
              <w:rPr>
                <w:rFonts w:ascii="Gill Sans MT" w:hAnsi="Gill Sans MT" w:cs="Arial"/>
                <w:lang w:val="en-GB"/>
              </w:rPr>
              <w:t xml:space="preserve">, optimising use of resources. </w:t>
            </w:r>
          </w:p>
          <w:p w14:paraId="60A455F3" w14:textId="7B55349B" w:rsidR="00312972" w:rsidRPr="009E2A94" w:rsidRDefault="00EC6651" w:rsidP="00EC6651">
            <w:pPr>
              <w:pStyle w:val="ListParagraph"/>
              <w:numPr>
                <w:ilvl w:val="0"/>
                <w:numId w:val="13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 w:rsidRPr="00EC6651">
              <w:rPr>
                <w:rFonts w:ascii="Gill Sans MT" w:hAnsi="Gill Sans MT" w:cs="Arial"/>
                <w:lang w:val="en-GB"/>
              </w:rPr>
              <w:t xml:space="preserve">In conjunction with the HSE Manager, act as the </w:t>
            </w:r>
            <w:r>
              <w:rPr>
                <w:rFonts w:ascii="Gill Sans MT" w:hAnsi="Gill Sans MT" w:cs="Arial"/>
                <w:lang w:val="en-GB"/>
              </w:rPr>
              <w:t>C</w:t>
            </w:r>
            <w:r w:rsidRPr="00EC6651">
              <w:rPr>
                <w:rFonts w:ascii="Gill Sans MT" w:hAnsi="Gill Sans MT" w:cs="Arial"/>
                <w:lang w:val="en-GB"/>
              </w:rPr>
              <w:t xml:space="preserve">ompany ‘competent person’ on </w:t>
            </w:r>
            <w:r w:rsidR="00936160">
              <w:rPr>
                <w:rFonts w:ascii="Gill Sans MT" w:hAnsi="Gill Sans MT" w:cs="Arial"/>
                <w:lang w:val="en-GB"/>
              </w:rPr>
              <w:t>p</w:t>
            </w:r>
            <w:r w:rsidR="00417A52">
              <w:rPr>
                <w:rFonts w:ascii="Gill Sans MT" w:hAnsi="Gill Sans MT" w:cs="Arial"/>
                <w:lang w:val="en-GB"/>
              </w:rPr>
              <w:t xml:space="preserve">rocess </w:t>
            </w:r>
            <w:r w:rsidR="00936160">
              <w:rPr>
                <w:rFonts w:ascii="Gill Sans MT" w:hAnsi="Gill Sans MT" w:cs="Arial"/>
                <w:lang w:val="en-GB"/>
              </w:rPr>
              <w:t>s</w:t>
            </w:r>
            <w:r w:rsidR="00417A52">
              <w:rPr>
                <w:rFonts w:ascii="Gill Sans MT" w:hAnsi="Gill Sans MT" w:cs="Arial"/>
                <w:lang w:val="en-GB"/>
              </w:rPr>
              <w:t>afety</w:t>
            </w:r>
            <w:r w:rsidRPr="00EC6651">
              <w:rPr>
                <w:rFonts w:ascii="Gill Sans MT" w:hAnsi="Gill Sans MT" w:cs="Arial"/>
                <w:lang w:val="en-GB"/>
              </w:rPr>
              <w:t xml:space="preserve"> issues.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81AA0" w:rsidRPr="009E2A94" w14:paraId="037F4353" w14:textId="77777777" w:rsidTr="42F2F823">
        <w:trPr>
          <w:trHeight w:val="971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3FCAC007" w14:textId="35F74F48" w:rsidR="00B427D6" w:rsidRPr="009E2A94" w:rsidRDefault="009D07BC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lastRenderedPageBreak/>
              <w:t>Internal / External Interaction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center"/>
          </w:tcPr>
          <w:p w14:paraId="48F9D5EE" w14:textId="77777777" w:rsidR="007E0D42" w:rsidRDefault="007F1FB0" w:rsidP="00C46330">
            <w:pPr>
              <w:pStyle w:val="ListParagraph"/>
              <w:numPr>
                <w:ilvl w:val="0"/>
                <w:numId w:val="15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Liaise with all departments across the organisation.</w:t>
            </w:r>
          </w:p>
          <w:p w14:paraId="0C692106" w14:textId="77777777" w:rsidR="007F1FB0" w:rsidRDefault="007F1FB0" w:rsidP="00C46330">
            <w:pPr>
              <w:pStyle w:val="ListParagraph"/>
              <w:numPr>
                <w:ilvl w:val="0"/>
                <w:numId w:val="15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Build effective working relationships with the Operations, Maintenance and Engineering functions.</w:t>
            </w:r>
          </w:p>
          <w:p w14:paraId="190FC42D" w14:textId="77777777" w:rsidR="007F1FB0" w:rsidRDefault="004712FA" w:rsidP="00C46330">
            <w:pPr>
              <w:pStyle w:val="ListParagraph"/>
              <w:numPr>
                <w:ilvl w:val="0"/>
                <w:numId w:val="15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Interact with Shareholders as required.</w:t>
            </w:r>
          </w:p>
          <w:p w14:paraId="282158C4" w14:textId="77777777" w:rsidR="004712FA" w:rsidRDefault="004712FA" w:rsidP="00C46330">
            <w:pPr>
              <w:pStyle w:val="ListParagraph"/>
              <w:numPr>
                <w:ilvl w:val="0"/>
                <w:numId w:val="15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 xml:space="preserve">Develop relationships </w:t>
            </w:r>
            <w:r w:rsidR="005F478C">
              <w:rPr>
                <w:rFonts w:ascii="Gill Sans MT" w:hAnsi="Gill Sans MT" w:cs="Arial"/>
                <w:lang w:val="en-GB"/>
              </w:rPr>
              <w:t xml:space="preserve">with HSE representatives </w:t>
            </w:r>
            <w:r w:rsidR="008D72A1">
              <w:rPr>
                <w:rFonts w:ascii="Gill Sans MT" w:hAnsi="Gill Sans MT" w:cs="Arial"/>
                <w:lang w:val="en-GB"/>
              </w:rPr>
              <w:t>from sites across the Haven</w:t>
            </w:r>
            <w:r w:rsidR="00124696">
              <w:rPr>
                <w:rFonts w:ascii="Gill Sans MT" w:hAnsi="Gill Sans MT" w:cs="Arial"/>
                <w:lang w:val="en-GB"/>
              </w:rPr>
              <w:t>, sharing HSE best practice and learnings.</w:t>
            </w:r>
          </w:p>
          <w:p w14:paraId="213C44A3" w14:textId="77777777" w:rsidR="00124696" w:rsidRDefault="00124696" w:rsidP="00C46330">
            <w:pPr>
              <w:pStyle w:val="ListParagraph"/>
              <w:numPr>
                <w:ilvl w:val="0"/>
                <w:numId w:val="15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Strong interaction and communication with site business partners, contractors and sub-contractors.</w:t>
            </w:r>
          </w:p>
          <w:p w14:paraId="53E54DC3" w14:textId="77777777" w:rsidR="003D5B65" w:rsidRDefault="003D5B65" w:rsidP="00C46330">
            <w:pPr>
              <w:pStyle w:val="ListParagraph"/>
              <w:numPr>
                <w:ilvl w:val="0"/>
                <w:numId w:val="15"/>
              </w:numPr>
              <w:ind w:left="424" w:hanging="424"/>
              <w:jc w:val="both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Communication with regulatory bodies including HSE and NRW.</w:t>
            </w:r>
          </w:p>
          <w:p w14:paraId="60359AC4" w14:textId="6E6627BE" w:rsidR="003D5B65" w:rsidRPr="003D5B65" w:rsidRDefault="003D5B65" w:rsidP="003D5B65">
            <w:pPr>
              <w:jc w:val="both"/>
              <w:rPr>
                <w:rFonts w:ascii="Gill Sans MT" w:hAnsi="Gill Sans MT" w:cs="Arial"/>
                <w:lang w:val="en-GB"/>
              </w:rPr>
            </w:pPr>
          </w:p>
        </w:tc>
      </w:tr>
      <w:tr w:rsidR="00EA6130" w:rsidRPr="009E2A94" w14:paraId="49E7BBD9" w14:textId="77777777" w:rsidTr="42F2F823">
        <w:trPr>
          <w:trHeight w:val="1833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2BFD432A" w14:textId="58F26182" w:rsidR="00EA6130" w:rsidRPr="009E2A94" w:rsidRDefault="00EA6130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eastAsia="en-US"/>
              </w:rPr>
              <w:t>Responsibility of All Employees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center"/>
          </w:tcPr>
          <w:p w14:paraId="2893E164" w14:textId="77777777" w:rsidR="00EA6130" w:rsidRPr="009E2A94" w:rsidRDefault="00EA6130" w:rsidP="00EA6130">
            <w:pPr>
              <w:numPr>
                <w:ilvl w:val="0"/>
                <w:numId w:val="15"/>
              </w:numPr>
              <w:spacing w:line="276" w:lineRule="auto"/>
              <w:ind w:left="320" w:hanging="283"/>
              <w:jc w:val="both"/>
              <w:rPr>
                <w:rFonts w:ascii="Gill Sans MT" w:hAnsi="Gill Sans MT" w:cs="Arial"/>
                <w:lang w:eastAsia="en-US"/>
              </w:rPr>
            </w:pPr>
            <w:r w:rsidRPr="009E2A94">
              <w:rPr>
                <w:rFonts w:ascii="Gill Sans MT" w:hAnsi="Gill Sans MT" w:cs="Arial"/>
                <w:lang w:eastAsia="en-US"/>
              </w:rPr>
              <w:t>Compliance with Company policies and procedures.</w:t>
            </w:r>
          </w:p>
          <w:p w14:paraId="4C3A90EB" w14:textId="77777777" w:rsidR="00EA6130" w:rsidRPr="009E2A94" w:rsidRDefault="00EA6130" w:rsidP="00EA6130">
            <w:pPr>
              <w:numPr>
                <w:ilvl w:val="0"/>
                <w:numId w:val="15"/>
              </w:numPr>
              <w:spacing w:line="276" w:lineRule="auto"/>
              <w:ind w:left="320" w:hanging="283"/>
              <w:jc w:val="both"/>
              <w:rPr>
                <w:rFonts w:ascii="Gill Sans MT" w:hAnsi="Gill Sans MT" w:cs="Arial"/>
                <w:lang w:eastAsia="en-US"/>
              </w:rPr>
            </w:pPr>
            <w:r w:rsidRPr="009E2A94">
              <w:rPr>
                <w:rFonts w:ascii="Gill Sans MT" w:hAnsi="Gill Sans MT" w:cs="Arial"/>
                <w:lang w:eastAsia="en-US"/>
              </w:rPr>
              <w:t xml:space="preserve">Role model Company values and </w:t>
            </w:r>
            <w:proofErr w:type="spellStart"/>
            <w:r w:rsidRPr="009E2A94">
              <w:rPr>
                <w:rFonts w:ascii="Gill Sans MT" w:hAnsi="Gill Sans MT" w:cs="Arial"/>
                <w:lang w:eastAsia="en-US"/>
              </w:rPr>
              <w:t>behaviours</w:t>
            </w:r>
            <w:proofErr w:type="spellEnd"/>
            <w:r w:rsidRPr="009E2A94">
              <w:rPr>
                <w:rFonts w:ascii="Gill Sans MT" w:hAnsi="Gill Sans MT" w:cs="Arial"/>
                <w:lang w:eastAsia="en-US"/>
              </w:rPr>
              <w:t>.</w:t>
            </w:r>
          </w:p>
          <w:p w14:paraId="7DD66E2B" w14:textId="77777777" w:rsidR="00EA6130" w:rsidRPr="009E2A94" w:rsidRDefault="00EA6130" w:rsidP="00EA6130">
            <w:pPr>
              <w:numPr>
                <w:ilvl w:val="0"/>
                <w:numId w:val="15"/>
              </w:numPr>
              <w:spacing w:line="276" w:lineRule="auto"/>
              <w:ind w:left="320" w:hanging="283"/>
              <w:jc w:val="both"/>
              <w:rPr>
                <w:rFonts w:ascii="Gill Sans MT" w:hAnsi="Gill Sans MT" w:cs="Arial"/>
                <w:lang w:eastAsia="en-US"/>
              </w:rPr>
            </w:pPr>
            <w:proofErr w:type="gramStart"/>
            <w:r w:rsidRPr="009E2A94">
              <w:rPr>
                <w:rFonts w:ascii="Gill Sans MT" w:hAnsi="Gill Sans MT" w:cs="Arial"/>
                <w:lang w:eastAsia="en-US"/>
              </w:rPr>
              <w:t>Undertake</w:t>
            </w:r>
            <w:proofErr w:type="gramEnd"/>
            <w:r w:rsidRPr="009E2A94">
              <w:rPr>
                <w:rFonts w:ascii="Gill Sans MT" w:hAnsi="Gill Sans MT" w:cs="Arial"/>
                <w:lang w:eastAsia="en-US"/>
              </w:rPr>
              <w:t xml:space="preserve"> training and development as required for their role.</w:t>
            </w:r>
          </w:p>
          <w:p w14:paraId="2E067C9F" w14:textId="264D6FEB" w:rsidR="00EA6130" w:rsidRPr="009E2A94" w:rsidRDefault="00EA6130" w:rsidP="00EA6130">
            <w:pPr>
              <w:pStyle w:val="ListParagraph"/>
              <w:numPr>
                <w:ilvl w:val="0"/>
                <w:numId w:val="15"/>
              </w:numPr>
              <w:ind w:left="320" w:hanging="283"/>
              <w:jc w:val="both"/>
              <w:rPr>
                <w:rFonts w:ascii="Gill Sans MT" w:hAnsi="Gill Sans MT" w:cs="Arial"/>
                <w:lang w:val="en-GB"/>
              </w:rPr>
            </w:pPr>
            <w:r w:rsidRPr="009E2A94">
              <w:rPr>
                <w:rFonts w:ascii="Gill Sans MT" w:hAnsi="Gill Sans MT" w:cs="Arial"/>
                <w:lang w:eastAsia="en-US"/>
              </w:rPr>
              <w:t>Compliance with the Company Environmental Management System, ensuring implementation of environmental responsibilities commensurate to the individual role.</w:t>
            </w:r>
          </w:p>
        </w:tc>
      </w:tr>
      <w:tr w:rsidR="00AA083A" w:rsidRPr="009E2A94" w14:paraId="1CAFD6CF" w14:textId="77777777" w:rsidTr="42F2F823">
        <w:trPr>
          <w:trHeight w:val="560"/>
        </w:trPr>
        <w:tc>
          <w:tcPr>
            <w:tcW w:w="9142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AFD6CE" w14:textId="77777777" w:rsidR="00AA083A" w:rsidRPr="009E2A94" w:rsidRDefault="00AA083A" w:rsidP="00CC108E">
            <w:pPr>
              <w:pStyle w:val="Heading3"/>
              <w:spacing w:before="0" w:after="0"/>
              <w:jc w:val="both"/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9E2A94">
              <w:rPr>
                <w:rFonts w:ascii="Gill Sans MT" w:hAnsi="Gill Sans MT"/>
                <w:sz w:val="20"/>
                <w:szCs w:val="20"/>
                <w:lang w:val="en-GB"/>
              </w:rPr>
              <w:t xml:space="preserve"> 2. PERSON SPECIFICATION</w:t>
            </w:r>
          </w:p>
        </w:tc>
      </w:tr>
      <w:tr w:rsidR="003D67E8" w:rsidRPr="009E2A94" w14:paraId="7879CEE2" w14:textId="77777777" w:rsidTr="42F2F823">
        <w:trPr>
          <w:trHeight w:val="406"/>
        </w:trPr>
        <w:tc>
          <w:tcPr>
            <w:tcW w:w="2014" w:type="dxa"/>
            <w:vAlign w:val="center"/>
          </w:tcPr>
          <w:p w14:paraId="59D37F62" w14:textId="77777777" w:rsidR="003D67E8" w:rsidRPr="009E2A94" w:rsidRDefault="003D67E8" w:rsidP="00CC108E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429F2209" w14:textId="77777777" w:rsidR="003D67E8" w:rsidRPr="009E2A94" w:rsidRDefault="003D67E8" w:rsidP="003D67E8">
            <w:pPr>
              <w:jc w:val="both"/>
              <w:rPr>
                <w:rFonts w:ascii="Gill Sans MT" w:hAnsi="Gill Sans MT" w:cs="Arial"/>
              </w:rPr>
            </w:pPr>
          </w:p>
        </w:tc>
        <w:tc>
          <w:tcPr>
            <w:tcW w:w="1275" w:type="dxa"/>
            <w:vAlign w:val="center"/>
          </w:tcPr>
          <w:p w14:paraId="6DE993ED" w14:textId="63D4995E" w:rsidR="003D67E8" w:rsidRPr="009E2A94" w:rsidRDefault="003D67E8" w:rsidP="003D67E8">
            <w:pPr>
              <w:jc w:val="center"/>
              <w:rPr>
                <w:rFonts w:ascii="Gill Sans MT" w:hAnsi="Gill Sans MT" w:cs="Arial"/>
                <w:b/>
                <w:bCs/>
              </w:rPr>
            </w:pPr>
            <w:r w:rsidRPr="009E2A94">
              <w:rPr>
                <w:rFonts w:ascii="Gill Sans MT" w:hAnsi="Gill Sans MT" w:cs="Arial"/>
                <w:b/>
                <w:bCs/>
              </w:rPr>
              <w:t>Required</w:t>
            </w:r>
          </w:p>
        </w:tc>
        <w:tc>
          <w:tcPr>
            <w:tcW w:w="1175" w:type="dxa"/>
            <w:vAlign w:val="center"/>
          </w:tcPr>
          <w:p w14:paraId="21CAB476" w14:textId="447174E5" w:rsidR="003D67E8" w:rsidRPr="009E2A94" w:rsidRDefault="003D67E8" w:rsidP="003D67E8">
            <w:pPr>
              <w:jc w:val="center"/>
              <w:rPr>
                <w:rFonts w:ascii="Gill Sans MT" w:hAnsi="Gill Sans MT" w:cs="Arial"/>
                <w:b/>
                <w:bCs/>
              </w:rPr>
            </w:pPr>
            <w:r w:rsidRPr="009E2A94">
              <w:rPr>
                <w:rFonts w:ascii="Gill Sans MT" w:hAnsi="Gill Sans MT" w:cs="Arial"/>
                <w:b/>
                <w:bCs/>
              </w:rPr>
              <w:t>Desirable</w:t>
            </w:r>
          </w:p>
        </w:tc>
      </w:tr>
      <w:tr w:rsidR="00FE0EE0" w:rsidRPr="009E2A94" w14:paraId="4BB8F932" w14:textId="77777777" w:rsidTr="42F2F823">
        <w:trPr>
          <w:trHeight w:val="406"/>
        </w:trPr>
        <w:tc>
          <w:tcPr>
            <w:tcW w:w="2014" w:type="dxa"/>
            <w:vMerge w:val="restart"/>
            <w:vAlign w:val="center"/>
          </w:tcPr>
          <w:p w14:paraId="20BDF27B" w14:textId="7047FFB2" w:rsidR="00FE0EE0" w:rsidRPr="009E2A94" w:rsidRDefault="00FE0EE0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>Experience Needed</w:t>
            </w:r>
          </w:p>
        </w:tc>
        <w:tc>
          <w:tcPr>
            <w:tcW w:w="4678" w:type="dxa"/>
            <w:vAlign w:val="center"/>
          </w:tcPr>
          <w:p w14:paraId="320C270F" w14:textId="47CE15AE" w:rsidR="00FE0EE0" w:rsidRPr="009E2A94" w:rsidRDefault="006A6DCB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6A6DCB">
              <w:rPr>
                <w:rFonts w:ascii="Gill Sans MT" w:hAnsi="Gill Sans MT" w:cs="Arial"/>
              </w:rPr>
              <w:t>Significant experience</w:t>
            </w:r>
            <w:r w:rsidR="0007323A">
              <w:rPr>
                <w:rFonts w:ascii="Gill Sans MT" w:hAnsi="Gill Sans MT" w:cs="Arial"/>
              </w:rPr>
              <w:t xml:space="preserve"> in</w:t>
            </w:r>
            <w:r w:rsidR="003E40E8">
              <w:rPr>
                <w:rFonts w:ascii="Gill Sans MT" w:hAnsi="Gill Sans MT" w:cs="Arial"/>
              </w:rPr>
              <w:t xml:space="preserve"> process safety</w:t>
            </w:r>
            <w:r w:rsidR="0007323A">
              <w:rPr>
                <w:rFonts w:ascii="Gill Sans MT" w:hAnsi="Gill Sans MT" w:cs="Arial"/>
              </w:rPr>
              <w:t xml:space="preserve"> </w:t>
            </w:r>
            <w:r w:rsidR="00FF5711">
              <w:rPr>
                <w:rFonts w:ascii="Gill Sans MT" w:hAnsi="Gill Sans MT" w:cs="Arial"/>
              </w:rPr>
              <w:t xml:space="preserve">in </w:t>
            </w:r>
            <w:r w:rsidR="0007323A">
              <w:rPr>
                <w:rFonts w:ascii="Gill Sans MT" w:hAnsi="Gill Sans MT" w:cs="Arial"/>
              </w:rPr>
              <w:t>a high hazard industry.</w:t>
            </w:r>
          </w:p>
        </w:tc>
        <w:tc>
          <w:tcPr>
            <w:tcW w:w="1275" w:type="dxa"/>
            <w:vAlign w:val="center"/>
          </w:tcPr>
          <w:p w14:paraId="17434424" w14:textId="5B34FCD1" w:rsidR="00FE0EE0" w:rsidRPr="009E2A94" w:rsidRDefault="0007323A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  <w:tc>
          <w:tcPr>
            <w:tcW w:w="1175" w:type="dxa"/>
            <w:vAlign w:val="center"/>
          </w:tcPr>
          <w:p w14:paraId="0A99DCD1" w14:textId="77777777" w:rsidR="00FE0EE0" w:rsidRPr="009E2A94" w:rsidRDefault="00FE0EE0" w:rsidP="003D67E8">
            <w:pPr>
              <w:jc w:val="center"/>
              <w:rPr>
                <w:rFonts w:ascii="Gill Sans MT" w:hAnsi="Gill Sans MT" w:cs="Arial"/>
              </w:rPr>
            </w:pPr>
          </w:p>
        </w:tc>
      </w:tr>
      <w:tr w:rsidR="00FE0EE0" w:rsidRPr="009E2A94" w14:paraId="7E0D3DDB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26A91CBB" w14:textId="77777777" w:rsidR="00FE0EE0" w:rsidRPr="009E2A94" w:rsidRDefault="00FE0EE0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40BFEB07" w14:textId="43898F43" w:rsidR="00FE0EE0" w:rsidRPr="00F140FF" w:rsidRDefault="00F140FF" w:rsidP="00F140FF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  <w:lang w:eastAsia="en-US"/>
              </w:rPr>
            </w:pPr>
            <w:r w:rsidRPr="00C3447D">
              <w:rPr>
                <w:rFonts w:ascii="Gill Sans MT" w:hAnsi="Gill Sans MT" w:cs="Arial"/>
              </w:rPr>
              <w:t>Experience of working in the Oil and Gas or Petrochemical industry at a similar level.</w:t>
            </w:r>
          </w:p>
        </w:tc>
        <w:tc>
          <w:tcPr>
            <w:tcW w:w="1275" w:type="dxa"/>
            <w:vAlign w:val="center"/>
          </w:tcPr>
          <w:p w14:paraId="1DA8551F" w14:textId="1AD3B1FF" w:rsidR="00FE0EE0" w:rsidRPr="009E2A94" w:rsidRDefault="0007323A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  <w:tc>
          <w:tcPr>
            <w:tcW w:w="1175" w:type="dxa"/>
            <w:vAlign w:val="center"/>
          </w:tcPr>
          <w:p w14:paraId="5DD6371D" w14:textId="77777777" w:rsidR="00FE0EE0" w:rsidRPr="009E2A94" w:rsidRDefault="00FE0EE0" w:rsidP="003D67E8">
            <w:pPr>
              <w:jc w:val="center"/>
              <w:rPr>
                <w:rFonts w:ascii="Gill Sans MT" w:hAnsi="Gill Sans MT" w:cs="Arial"/>
              </w:rPr>
            </w:pPr>
          </w:p>
        </w:tc>
      </w:tr>
      <w:tr w:rsidR="00FE0EE0" w:rsidRPr="009E2A94" w14:paraId="643060F4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4D513616" w14:textId="77777777" w:rsidR="00FE0EE0" w:rsidRPr="009E2A94" w:rsidRDefault="00FE0EE0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3F94D956" w14:textId="59B7A93E" w:rsidR="00FE0EE0" w:rsidRPr="00044A18" w:rsidRDefault="00012917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C3447D">
              <w:rPr>
                <w:rFonts w:ascii="Gill Sans MT" w:hAnsi="Gill Sans MT" w:cs="Arial"/>
                <w:lang w:eastAsia="en-US"/>
              </w:rPr>
              <w:t>Experience of working on a COMAH upper tier site.</w:t>
            </w:r>
          </w:p>
        </w:tc>
        <w:tc>
          <w:tcPr>
            <w:tcW w:w="1275" w:type="dxa"/>
            <w:vAlign w:val="center"/>
          </w:tcPr>
          <w:p w14:paraId="4C628EEF" w14:textId="77777777" w:rsidR="00FE0EE0" w:rsidRPr="009E2A94" w:rsidRDefault="00FE0EE0" w:rsidP="003D67E8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1175" w:type="dxa"/>
            <w:vAlign w:val="center"/>
          </w:tcPr>
          <w:p w14:paraId="7C1246BB" w14:textId="0CDCED0B" w:rsidR="00FE0EE0" w:rsidRPr="009E2A94" w:rsidRDefault="00012917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</w:tr>
      <w:tr w:rsidR="00FE0EE0" w:rsidRPr="009E2A94" w14:paraId="6686429F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2A7B6BE4" w14:textId="77777777" w:rsidR="00FE0EE0" w:rsidRPr="009E2A94" w:rsidRDefault="00FE0EE0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5BE6CACA" w14:textId="735A9A3E" w:rsidR="00FE0EE0" w:rsidRPr="00044A18" w:rsidRDefault="00F52178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F52178">
              <w:rPr>
                <w:rFonts w:ascii="Gill Sans MT" w:hAnsi="Gill Sans MT" w:cs="Arial"/>
              </w:rPr>
              <w:t>Experience supporting projects across full lifecycle (design to commissioning)</w:t>
            </w:r>
            <w:r>
              <w:rPr>
                <w:rFonts w:ascii="Gill Sans MT" w:hAnsi="Gill Sans MT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3FFE93BB" w14:textId="77777777" w:rsidR="00FE0EE0" w:rsidRPr="009E2A94" w:rsidRDefault="00FE0EE0" w:rsidP="003D67E8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1175" w:type="dxa"/>
            <w:vAlign w:val="center"/>
          </w:tcPr>
          <w:p w14:paraId="24763970" w14:textId="1A6CC4E0" w:rsidR="00FE0EE0" w:rsidRPr="009E2A94" w:rsidRDefault="00D969D7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</w:tr>
      <w:tr w:rsidR="00FE0EE0" w:rsidRPr="009E2A94" w14:paraId="2489BB3B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6286BB49" w14:textId="77777777" w:rsidR="00FE0EE0" w:rsidRPr="009E2A94" w:rsidRDefault="00FE0EE0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65CBBF93" w14:textId="1DF0BEDE" w:rsidR="00FE0EE0" w:rsidRPr="00044A18" w:rsidRDefault="007A3172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7A3172">
              <w:rPr>
                <w:rFonts w:ascii="Gill Sans MT" w:hAnsi="Gill Sans MT" w:cs="Arial"/>
              </w:rPr>
              <w:t>Experience within an HSE function, including environmental management systems</w:t>
            </w:r>
            <w:r>
              <w:rPr>
                <w:rFonts w:ascii="Gill Sans MT" w:hAnsi="Gill Sans MT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5481655C" w14:textId="5CBA51D9" w:rsidR="00FE0EE0" w:rsidRPr="00AB301C" w:rsidRDefault="00FE0EE0" w:rsidP="003D67E8">
            <w:pPr>
              <w:jc w:val="center"/>
              <w:rPr>
                <w:rFonts w:ascii="Gill Sans MT" w:hAnsi="Gill Sans MT" w:cs="Arial"/>
                <w:strike/>
              </w:rPr>
            </w:pPr>
          </w:p>
        </w:tc>
        <w:tc>
          <w:tcPr>
            <w:tcW w:w="1175" w:type="dxa"/>
            <w:vAlign w:val="center"/>
          </w:tcPr>
          <w:p w14:paraId="031A570A" w14:textId="02B46070" w:rsidR="00FE0EE0" w:rsidRPr="009E2A94" w:rsidRDefault="5FA8F363" w:rsidP="003D67E8">
            <w:pPr>
              <w:jc w:val="center"/>
              <w:rPr>
                <w:rFonts w:ascii="Gill Sans MT" w:hAnsi="Gill Sans MT" w:cs="Arial"/>
              </w:rPr>
            </w:pPr>
            <w:r w:rsidRPr="0449CAFB">
              <w:rPr>
                <w:rFonts w:ascii="Gill Sans MT" w:hAnsi="Gill Sans MT" w:cs="Arial"/>
              </w:rPr>
              <w:t>X</w:t>
            </w:r>
          </w:p>
        </w:tc>
      </w:tr>
      <w:tr w:rsidR="00445E37" w:rsidRPr="009E2A94" w14:paraId="06150D24" w14:textId="77777777" w:rsidTr="0F4E0913">
        <w:trPr>
          <w:trHeight w:val="406"/>
        </w:trPr>
        <w:tc>
          <w:tcPr>
            <w:tcW w:w="2014" w:type="dxa"/>
            <w:vAlign w:val="center"/>
          </w:tcPr>
          <w:p w14:paraId="76B6E930" w14:textId="77777777" w:rsidR="00445E37" w:rsidRPr="009E2A94" w:rsidRDefault="00445E37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621CD55D" w14:textId="5949F180" w:rsidR="00445E37" w:rsidRPr="00DC4A12" w:rsidRDefault="00445E37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DC4A12">
              <w:rPr>
                <w:rFonts w:ascii="Gill Sans MT" w:hAnsi="Gill Sans MT" w:cs="Arial"/>
              </w:rPr>
              <w:t>Experience working as a Process Engineer</w:t>
            </w:r>
          </w:p>
        </w:tc>
        <w:tc>
          <w:tcPr>
            <w:tcW w:w="1275" w:type="dxa"/>
            <w:vAlign w:val="center"/>
          </w:tcPr>
          <w:p w14:paraId="0732459A" w14:textId="4C98E344" w:rsidR="00445E37" w:rsidRPr="00D1473B" w:rsidRDefault="00D1473B" w:rsidP="003D67E8">
            <w:pPr>
              <w:jc w:val="center"/>
              <w:rPr>
                <w:rFonts w:ascii="Gill Sans MT" w:hAnsi="Gill Sans MT" w:cs="Arial"/>
                <w:color w:val="0070C0"/>
              </w:rPr>
            </w:pPr>
            <w:r w:rsidRPr="00D1473B">
              <w:rPr>
                <w:rFonts w:ascii="Gill Sans MT" w:hAnsi="Gill Sans MT" w:cs="Arial"/>
              </w:rPr>
              <w:t>X</w:t>
            </w:r>
          </w:p>
        </w:tc>
        <w:tc>
          <w:tcPr>
            <w:tcW w:w="1175" w:type="dxa"/>
            <w:vAlign w:val="center"/>
          </w:tcPr>
          <w:p w14:paraId="2EA4DF3E" w14:textId="0B07816B" w:rsidR="00445E37" w:rsidRPr="00DD74A7" w:rsidRDefault="00445E37" w:rsidP="003D67E8">
            <w:pPr>
              <w:jc w:val="center"/>
              <w:rPr>
                <w:rFonts w:ascii="Gill Sans MT" w:hAnsi="Gill Sans MT" w:cs="Arial"/>
                <w:color w:val="0070C0"/>
              </w:rPr>
            </w:pPr>
          </w:p>
        </w:tc>
      </w:tr>
      <w:tr w:rsidR="00044A18" w:rsidRPr="009E2A94" w14:paraId="6B8300F4" w14:textId="77777777" w:rsidTr="42F2F823">
        <w:trPr>
          <w:trHeight w:val="217"/>
        </w:trPr>
        <w:tc>
          <w:tcPr>
            <w:tcW w:w="2014" w:type="dxa"/>
            <w:shd w:val="clear" w:color="auto" w:fill="BFBFBF" w:themeFill="background1" w:themeFillShade="BF"/>
            <w:vAlign w:val="center"/>
          </w:tcPr>
          <w:p w14:paraId="57F98C88" w14:textId="77777777" w:rsidR="00044A18" w:rsidRPr="00044A18" w:rsidRDefault="00044A18" w:rsidP="003D67E8">
            <w:pPr>
              <w:rPr>
                <w:rFonts w:ascii="Gill Sans MT" w:hAnsi="Gill Sans MT" w:cs="Arial"/>
                <w:b/>
                <w:sz w:val="8"/>
                <w:szCs w:val="8"/>
                <w:lang w:val="en-GB"/>
              </w:rPr>
            </w:pP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1B911A9F" w14:textId="77777777" w:rsidR="00044A18" w:rsidRPr="00044A18" w:rsidRDefault="00044A18" w:rsidP="00044A18">
            <w:pPr>
              <w:jc w:val="both"/>
              <w:rPr>
                <w:rFonts w:ascii="Gill Sans MT" w:hAnsi="Gill Sans MT" w:cs="Arial"/>
                <w:sz w:val="8"/>
                <w:szCs w:val="8"/>
                <w:highlight w:val="yellow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28B6F7BE" w14:textId="77777777" w:rsidR="00044A18" w:rsidRPr="00044A18" w:rsidRDefault="00044A18" w:rsidP="003D67E8">
            <w:pPr>
              <w:jc w:val="center"/>
              <w:rPr>
                <w:rFonts w:ascii="Gill Sans MT" w:hAnsi="Gill Sans MT" w:cs="Arial"/>
                <w:sz w:val="8"/>
                <w:szCs w:val="8"/>
              </w:rPr>
            </w:pPr>
          </w:p>
        </w:tc>
        <w:tc>
          <w:tcPr>
            <w:tcW w:w="1175" w:type="dxa"/>
            <w:shd w:val="clear" w:color="auto" w:fill="BFBFBF" w:themeFill="background1" w:themeFillShade="BF"/>
            <w:vAlign w:val="center"/>
          </w:tcPr>
          <w:p w14:paraId="0E4AED6C" w14:textId="77777777" w:rsidR="00044A18" w:rsidRPr="00044A18" w:rsidRDefault="00044A18" w:rsidP="003D67E8">
            <w:pPr>
              <w:jc w:val="center"/>
              <w:rPr>
                <w:rFonts w:ascii="Gill Sans MT" w:hAnsi="Gill Sans MT" w:cs="Arial"/>
                <w:sz w:val="8"/>
                <w:szCs w:val="8"/>
              </w:rPr>
            </w:pPr>
          </w:p>
        </w:tc>
      </w:tr>
      <w:tr w:rsidR="00B44A7E" w:rsidRPr="009E2A94" w14:paraId="1800FB61" w14:textId="77777777" w:rsidTr="42F2F823">
        <w:trPr>
          <w:trHeight w:val="406"/>
        </w:trPr>
        <w:tc>
          <w:tcPr>
            <w:tcW w:w="2014" w:type="dxa"/>
            <w:vMerge w:val="restart"/>
            <w:vAlign w:val="center"/>
          </w:tcPr>
          <w:p w14:paraId="7144CA78" w14:textId="77777777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 xml:space="preserve">Knowledge, </w:t>
            </w:r>
          </w:p>
          <w:p w14:paraId="02C6BFC9" w14:textId="77185D91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>Skills, Attributes and Qualifications</w:t>
            </w:r>
          </w:p>
        </w:tc>
        <w:tc>
          <w:tcPr>
            <w:tcW w:w="4678" w:type="dxa"/>
            <w:vAlign w:val="center"/>
          </w:tcPr>
          <w:p w14:paraId="1DB8253D" w14:textId="68CDCAC5" w:rsidR="00B44A7E" w:rsidRPr="00C61951" w:rsidRDefault="00B44A7E" w:rsidP="00C61951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  <w:lang w:eastAsia="en-US"/>
              </w:rPr>
            </w:pPr>
            <w:r w:rsidRPr="00C3447D">
              <w:rPr>
                <w:rFonts w:ascii="Gill Sans MT" w:hAnsi="Gill Sans MT" w:cs="Arial"/>
              </w:rPr>
              <w:t xml:space="preserve">Educated to a degree level in </w:t>
            </w:r>
            <w:r w:rsidR="00364496">
              <w:rPr>
                <w:rFonts w:ascii="Gill Sans MT" w:hAnsi="Gill Sans MT" w:cs="Arial"/>
              </w:rPr>
              <w:t xml:space="preserve">Process </w:t>
            </w:r>
            <w:r w:rsidR="007A3172">
              <w:rPr>
                <w:rFonts w:ascii="Gill Sans MT" w:hAnsi="Gill Sans MT" w:cs="Arial"/>
              </w:rPr>
              <w:t>Engineering</w:t>
            </w:r>
            <w:r w:rsidR="0068710E">
              <w:rPr>
                <w:rFonts w:ascii="Gill Sans MT" w:hAnsi="Gill Sans MT" w:cs="Arial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C7956E0" w14:textId="13965704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  <w:tc>
          <w:tcPr>
            <w:tcW w:w="1175" w:type="dxa"/>
            <w:vAlign w:val="center"/>
          </w:tcPr>
          <w:p w14:paraId="1606A552" w14:textId="77777777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</w:p>
        </w:tc>
      </w:tr>
      <w:tr w:rsidR="00B44A7E" w:rsidRPr="009E2A94" w14:paraId="484A9617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70427C00" w14:textId="77777777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419BEDB5" w14:textId="7C580508" w:rsidR="00B44A7E" w:rsidRPr="00044A18" w:rsidRDefault="00B44A7E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07323A">
              <w:rPr>
                <w:rFonts w:ascii="Gill Sans MT" w:hAnsi="Gill Sans MT" w:cs="Arial"/>
              </w:rPr>
              <w:t xml:space="preserve">Strong technical </w:t>
            </w:r>
            <w:r>
              <w:rPr>
                <w:rFonts w:ascii="Gill Sans MT" w:hAnsi="Gill Sans MT" w:cs="Arial"/>
              </w:rPr>
              <w:t>knowledge of</w:t>
            </w:r>
            <w:r w:rsidRPr="0007323A">
              <w:rPr>
                <w:rFonts w:ascii="Gill Sans MT" w:hAnsi="Gill Sans MT" w:cs="Arial"/>
              </w:rPr>
              <w:t xml:space="preserve"> process safety management and COMAH regulations</w:t>
            </w:r>
          </w:p>
        </w:tc>
        <w:tc>
          <w:tcPr>
            <w:tcW w:w="1275" w:type="dxa"/>
            <w:vAlign w:val="center"/>
          </w:tcPr>
          <w:p w14:paraId="15FB0D33" w14:textId="6BD4388B" w:rsidR="00B44A7E" w:rsidRPr="009E2A94" w:rsidRDefault="00CB1B71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  <w:tc>
          <w:tcPr>
            <w:tcW w:w="1175" w:type="dxa"/>
            <w:vAlign w:val="center"/>
          </w:tcPr>
          <w:p w14:paraId="5B362C33" w14:textId="66283D17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</w:p>
        </w:tc>
      </w:tr>
      <w:tr w:rsidR="0068710E" w:rsidRPr="009E2A94" w14:paraId="3680F867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13E10504" w14:textId="77777777" w:rsidR="0068710E" w:rsidRPr="009E2A94" w:rsidRDefault="0068710E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3A8A324F" w14:textId="1C28CF04" w:rsidR="0068710E" w:rsidRPr="0007323A" w:rsidRDefault="0068710E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C3447D">
              <w:rPr>
                <w:rFonts w:ascii="Gill Sans MT" w:hAnsi="Gill Sans MT" w:cs="Arial"/>
              </w:rPr>
              <w:t xml:space="preserve">Health and Safety / </w:t>
            </w:r>
            <w:r>
              <w:rPr>
                <w:rFonts w:ascii="Gill Sans MT" w:hAnsi="Gill Sans MT" w:cs="Arial"/>
              </w:rPr>
              <w:t>NEBOSH</w:t>
            </w:r>
            <w:r w:rsidRPr="00C3447D">
              <w:rPr>
                <w:rFonts w:ascii="Gill Sans MT" w:hAnsi="Gill Sans MT" w:cs="Arial"/>
              </w:rPr>
              <w:t xml:space="preserve"> Diploma or equivalent.</w:t>
            </w:r>
          </w:p>
        </w:tc>
        <w:tc>
          <w:tcPr>
            <w:tcW w:w="1275" w:type="dxa"/>
            <w:vAlign w:val="center"/>
          </w:tcPr>
          <w:p w14:paraId="62B8E1F4" w14:textId="657D2BBA" w:rsidR="0068710E" w:rsidRPr="3F077475" w:rsidRDefault="0068710E" w:rsidP="003D67E8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1175" w:type="dxa"/>
            <w:vAlign w:val="center"/>
          </w:tcPr>
          <w:p w14:paraId="69C14500" w14:textId="463CAD61" w:rsidR="0068710E" w:rsidRPr="009E2A94" w:rsidRDefault="0098215A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</w:tr>
      <w:tr w:rsidR="00B44A7E" w:rsidRPr="009E2A94" w14:paraId="08FE2B93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18236374" w14:textId="77777777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6A8EA740" w14:textId="77777777" w:rsidR="00B44A7E" w:rsidRDefault="00B44A7E" w:rsidP="003F7F5C">
            <w:pPr>
              <w:pStyle w:val="ListParagraph"/>
              <w:numPr>
                <w:ilvl w:val="0"/>
                <w:numId w:val="13"/>
              </w:numPr>
              <w:ind w:left="424" w:hanging="424"/>
              <w:rPr>
                <w:rFonts w:ascii="Gill Sans MT" w:hAnsi="Gill Sans MT" w:cs="Arial"/>
                <w:lang w:val="en-GB"/>
              </w:rPr>
            </w:pPr>
            <w:r w:rsidRPr="00B54E0F">
              <w:rPr>
                <w:rFonts w:ascii="Gill Sans MT" w:hAnsi="Gill Sans MT" w:cs="Arial"/>
                <w:lang w:val="en-GB"/>
              </w:rPr>
              <w:t>Knowledge of UK and international codes of </w:t>
            </w:r>
          </w:p>
          <w:p w14:paraId="20AB2498" w14:textId="4D3CD994" w:rsidR="00B44A7E" w:rsidRPr="003F7F5C" w:rsidRDefault="00B44A7E" w:rsidP="003F7F5C">
            <w:pPr>
              <w:pStyle w:val="ListParagraph"/>
              <w:ind w:left="424"/>
              <w:rPr>
                <w:rFonts w:ascii="Gill Sans MT" w:hAnsi="Gill Sans MT" w:cs="Arial"/>
                <w:lang w:val="en-GB"/>
              </w:rPr>
            </w:pPr>
            <w:r w:rsidRPr="00B54E0F">
              <w:rPr>
                <w:rFonts w:ascii="Gill Sans MT" w:hAnsi="Gill Sans MT" w:cs="Arial"/>
                <w:lang w:val="en-GB"/>
              </w:rPr>
              <w:t>practice in the LNG industry.</w:t>
            </w:r>
          </w:p>
        </w:tc>
        <w:tc>
          <w:tcPr>
            <w:tcW w:w="1275" w:type="dxa"/>
            <w:vAlign w:val="center"/>
          </w:tcPr>
          <w:p w14:paraId="60A7B1AF" w14:textId="7DF83EEE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1175" w:type="dxa"/>
            <w:vAlign w:val="center"/>
          </w:tcPr>
          <w:p w14:paraId="1C5877F1" w14:textId="40634774" w:rsidR="00B44A7E" w:rsidRPr="009E2A94" w:rsidRDefault="00355F46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</w:tr>
      <w:tr w:rsidR="00B44A7E" w:rsidRPr="009E2A94" w14:paraId="1689D3AC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11465DD6" w14:textId="77777777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538A82C1" w14:textId="5F02E176" w:rsidR="00B44A7E" w:rsidRDefault="00B44A7E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Competent in risk assessment and other risk identification, risk management techniques and root cause analysis.</w:t>
            </w:r>
          </w:p>
        </w:tc>
        <w:tc>
          <w:tcPr>
            <w:tcW w:w="1275" w:type="dxa"/>
            <w:vAlign w:val="center"/>
          </w:tcPr>
          <w:p w14:paraId="03C6FFCE" w14:textId="0C905778" w:rsidR="00B44A7E" w:rsidRDefault="00B44A7E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  <w:tc>
          <w:tcPr>
            <w:tcW w:w="1175" w:type="dxa"/>
            <w:vAlign w:val="center"/>
          </w:tcPr>
          <w:p w14:paraId="04504593" w14:textId="77777777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</w:p>
        </w:tc>
      </w:tr>
      <w:tr w:rsidR="00B44A7E" w:rsidRPr="009E2A94" w14:paraId="0A201E94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408A3AF6" w14:textId="77777777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1204C22B" w14:textId="3AD49BE8" w:rsidR="00B44A7E" w:rsidRPr="00BF7831" w:rsidRDefault="00B44A7E" w:rsidP="00BF7831">
            <w:pPr>
              <w:pStyle w:val="ListParagraph"/>
              <w:numPr>
                <w:ilvl w:val="0"/>
                <w:numId w:val="13"/>
              </w:numPr>
              <w:ind w:left="424" w:hanging="424"/>
              <w:rPr>
                <w:rFonts w:ascii="Gill Sans MT" w:hAnsi="Gill Sans MT" w:cs="Arial"/>
                <w:lang w:val="en-GB"/>
              </w:rPr>
            </w:pPr>
            <w:r w:rsidRPr="00B54E0F">
              <w:rPr>
                <w:rFonts w:ascii="Gill Sans MT" w:hAnsi="Gill Sans MT" w:cs="Arial"/>
                <w:lang w:val="en-GB"/>
              </w:rPr>
              <w:t>Trained and Competent in</w:t>
            </w:r>
            <w:r>
              <w:rPr>
                <w:rFonts w:ascii="Gill Sans MT" w:hAnsi="Gill Sans MT" w:cs="Arial"/>
                <w:lang w:val="en-GB"/>
              </w:rPr>
              <w:t xml:space="preserve"> auditing and inspection.</w:t>
            </w:r>
          </w:p>
        </w:tc>
        <w:tc>
          <w:tcPr>
            <w:tcW w:w="1275" w:type="dxa"/>
            <w:vAlign w:val="center"/>
          </w:tcPr>
          <w:p w14:paraId="5B999415" w14:textId="3DBF2049" w:rsidR="00B44A7E" w:rsidRDefault="00B44A7E" w:rsidP="003D67E8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1175" w:type="dxa"/>
            <w:vAlign w:val="center"/>
          </w:tcPr>
          <w:p w14:paraId="2DD2C6C4" w14:textId="605A9611" w:rsidR="00B44A7E" w:rsidRPr="009E2A94" w:rsidRDefault="00E85883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</w:tr>
      <w:tr w:rsidR="00B44A7E" w:rsidRPr="009E2A94" w14:paraId="31DC0524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4EDA3E4B" w14:textId="77777777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2594A016" w14:textId="7DFA2943" w:rsidR="00B44A7E" w:rsidRPr="00044A18" w:rsidRDefault="00B44A7E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</w:t>
            </w:r>
            <w:r w:rsidRPr="00440F24">
              <w:rPr>
                <w:rFonts w:ascii="Gill Sans MT" w:hAnsi="Gill Sans MT" w:cs="Arial"/>
              </w:rPr>
              <w:t>bility to lead, influence, and engage stakeholders at all levels</w:t>
            </w:r>
            <w:r>
              <w:rPr>
                <w:rFonts w:ascii="Gill Sans MT" w:hAnsi="Gill Sans MT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51CE217D" w14:textId="1523071E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1175" w:type="dxa"/>
            <w:vAlign w:val="center"/>
          </w:tcPr>
          <w:p w14:paraId="6BE7ACC5" w14:textId="28D75D74" w:rsidR="00B44A7E" w:rsidRPr="009E2A94" w:rsidRDefault="00E85883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</w:tr>
      <w:tr w:rsidR="00B44A7E" w:rsidRPr="009E2A94" w14:paraId="0A38E71F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60BE0E6B" w14:textId="77777777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763BFEA0" w14:textId="50F15A5E" w:rsidR="00B44A7E" w:rsidRPr="00044A18" w:rsidRDefault="00B44A7E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440F24">
              <w:rPr>
                <w:rFonts w:ascii="Gill Sans MT" w:hAnsi="Gill Sans MT" w:cs="Arial"/>
              </w:rPr>
              <w:t>Excellent communication skills, both written and verbal</w:t>
            </w:r>
            <w:r>
              <w:rPr>
                <w:rFonts w:ascii="Gill Sans MT" w:hAnsi="Gill Sans MT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76A44592" w14:textId="562499E5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  <w:tc>
          <w:tcPr>
            <w:tcW w:w="1175" w:type="dxa"/>
            <w:vAlign w:val="center"/>
          </w:tcPr>
          <w:p w14:paraId="170DDF36" w14:textId="77777777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</w:p>
        </w:tc>
      </w:tr>
      <w:tr w:rsidR="00B44A7E" w:rsidRPr="009E2A94" w14:paraId="2D07ABFA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44075532" w14:textId="77777777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685C3D32" w14:textId="1045420D" w:rsidR="00B44A7E" w:rsidRPr="00044A18" w:rsidRDefault="00B44A7E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BE648E">
              <w:rPr>
                <w:rFonts w:ascii="Gill Sans MT" w:hAnsi="Gill Sans MT" w:cs="Arial"/>
              </w:rPr>
              <w:t>Strong problem-solving and analytical skills, with a focus on practical solutions</w:t>
            </w:r>
            <w:r>
              <w:rPr>
                <w:rFonts w:ascii="Gill Sans MT" w:hAnsi="Gill Sans MT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35A4A5CB" w14:textId="4C03B58D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  <w:tc>
          <w:tcPr>
            <w:tcW w:w="1175" w:type="dxa"/>
            <w:vAlign w:val="center"/>
          </w:tcPr>
          <w:p w14:paraId="0879358A" w14:textId="77777777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</w:p>
        </w:tc>
      </w:tr>
      <w:tr w:rsidR="00B44A7E" w:rsidRPr="009E2A94" w14:paraId="24CEBABC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1A5D5C2E" w14:textId="77777777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0AA619B2" w14:textId="29A58ABF" w:rsidR="00B44A7E" w:rsidRPr="00044A18" w:rsidRDefault="00B44A7E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Excellent </w:t>
            </w:r>
            <w:proofErr w:type="spellStart"/>
            <w:r>
              <w:rPr>
                <w:rFonts w:ascii="Gill Sans MT" w:hAnsi="Gill Sans MT" w:cs="Arial"/>
              </w:rPr>
              <w:t>organisational</w:t>
            </w:r>
            <w:proofErr w:type="spellEnd"/>
            <w:r>
              <w:rPr>
                <w:rFonts w:ascii="Gill Sans MT" w:hAnsi="Gill Sans MT" w:cs="Arial"/>
              </w:rPr>
              <w:t xml:space="preserve"> skills. </w:t>
            </w:r>
          </w:p>
        </w:tc>
        <w:tc>
          <w:tcPr>
            <w:tcW w:w="1275" w:type="dxa"/>
            <w:vAlign w:val="center"/>
          </w:tcPr>
          <w:p w14:paraId="213471FF" w14:textId="4EC88426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  <w:tc>
          <w:tcPr>
            <w:tcW w:w="1175" w:type="dxa"/>
            <w:vAlign w:val="center"/>
          </w:tcPr>
          <w:p w14:paraId="7405FD2E" w14:textId="77777777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</w:p>
        </w:tc>
      </w:tr>
      <w:tr w:rsidR="00B44A7E" w:rsidRPr="009E2A94" w14:paraId="19DD4DBA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2DBC2C69" w14:textId="77777777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2700718B" w14:textId="3F276C29" w:rsidR="00B44A7E" w:rsidRDefault="00B44A7E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973E3A">
              <w:rPr>
                <w:rFonts w:ascii="Gill Sans MT" w:hAnsi="Gill Sans MT" w:cs="Arial"/>
              </w:rPr>
              <w:t xml:space="preserve">Proficient </w:t>
            </w:r>
            <w:proofErr w:type="gramStart"/>
            <w:r w:rsidRPr="00973E3A">
              <w:rPr>
                <w:rFonts w:ascii="Gill Sans MT" w:hAnsi="Gill Sans MT" w:cs="Arial"/>
              </w:rPr>
              <w:t>user</w:t>
            </w:r>
            <w:proofErr w:type="gramEnd"/>
            <w:r w:rsidRPr="00973E3A">
              <w:rPr>
                <w:rFonts w:ascii="Gill Sans MT" w:hAnsi="Gill Sans MT" w:cs="Arial"/>
              </w:rPr>
              <w:t xml:space="preserve"> of IT including high level skills in Microsoft Office</w:t>
            </w:r>
            <w:r>
              <w:rPr>
                <w:rFonts w:ascii="Gill Sans MT" w:hAnsi="Gill Sans MT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57109A37" w14:textId="0A3C6184" w:rsidR="00B44A7E" w:rsidRDefault="00B44A7E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  <w:tc>
          <w:tcPr>
            <w:tcW w:w="1175" w:type="dxa"/>
            <w:vAlign w:val="center"/>
          </w:tcPr>
          <w:p w14:paraId="32F91D14" w14:textId="77777777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</w:p>
        </w:tc>
      </w:tr>
      <w:tr w:rsidR="00B44A7E" w:rsidRPr="009E2A94" w14:paraId="29FFD93C" w14:textId="77777777" w:rsidTr="42F2F823">
        <w:trPr>
          <w:trHeight w:val="406"/>
        </w:trPr>
        <w:tc>
          <w:tcPr>
            <w:tcW w:w="2014" w:type="dxa"/>
            <w:vMerge/>
            <w:vAlign w:val="center"/>
          </w:tcPr>
          <w:p w14:paraId="5E633D6B" w14:textId="77777777" w:rsidR="00B44A7E" w:rsidRPr="009E2A94" w:rsidRDefault="00B44A7E" w:rsidP="003D67E8">
            <w:pPr>
              <w:rPr>
                <w:rFonts w:ascii="Gill Sans MT" w:hAnsi="Gill Sans MT" w:cs="Arial"/>
                <w:b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203818AD" w14:textId="5B781E4B" w:rsidR="00B44A7E" w:rsidRPr="00973E3A" w:rsidRDefault="00B44A7E" w:rsidP="003D67E8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1F442B">
              <w:rPr>
                <w:rFonts w:ascii="Gill Sans MT" w:hAnsi="Gill Sans MT" w:cs="Arial"/>
              </w:rPr>
              <w:t>Results orientated, with a commitment to quality and timely delivery</w:t>
            </w:r>
            <w:r>
              <w:rPr>
                <w:rFonts w:ascii="Gill Sans MT" w:hAnsi="Gill Sans MT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2317606B" w14:textId="78832D91" w:rsidR="00B44A7E" w:rsidRDefault="00B44A7E" w:rsidP="003D67E8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X</w:t>
            </w:r>
          </w:p>
        </w:tc>
        <w:tc>
          <w:tcPr>
            <w:tcW w:w="1175" w:type="dxa"/>
            <w:vAlign w:val="center"/>
          </w:tcPr>
          <w:p w14:paraId="52DAABDB" w14:textId="77777777" w:rsidR="00B44A7E" w:rsidRPr="009E2A94" w:rsidRDefault="00B44A7E" w:rsidP="003D67E8">
            <w:pPr>
              <w:jc w:val="center"/>
              <w:rPr>
                <w:rFonts w:ascii="Gill Sans MT" w:hAnsi="Gill Sans MT" w:cs="Arial"/>
              </w:rPr>
            </w:pPr>
          </w:p>
        </w:tc>
      </w:tr>
      <w:tr w:rsidR="00AA083A" w:rsidRPr="009E2A94" w14:paraId="1CAFD6F3" w14:textId="77777777" w:rsidTr="42F2F823">
        <w:trPr>
          <w:trHeight w:val="1976"/>
        </w:trPr>
        <w:tc>
          <w:tcPr>
            <w:tcW w:w="2014" w:type="dxa"/>
            <w:vAlign w:val="center"/>
          </w:tcPr>
          <w:p w14:paraId="1CAFD6F0" w14:textId="3E4CD3F7" w:rsidR="004A1389" w:rsidRPr="001C7D4B" w:rsidRDefault="00AA083A" w:rsidP="00CC108E">
            <w:pPr>
              <w:rPr>
                <w:rFonts w:ascii="Gill Sans MT" w:hAnsi="Gill Sans MT" w:cs="Arial"/>
                <w:b/>
                <w:lang w:val="en-GB"/>
              </w:rPr>
            </w:pPr>
            <w:r w:rsidRPr="009E2A94">
              <w:rPr>
                <w:rFonts w:ascii="Gill Sans MT" w:hAnsi="Gill Sans MT" w:cs="Arial"/>
                <w:b/>
                <w:lang w:val="en-GB"/>
              </w:rPr>
              <w:t>Special Features</w:t>
            </w:r>
          </w:p>
        </w:tc>
        <w:tc>
          <w:tcPr>
            <w:tcW w:w="7128" w:type="dxa"/>
            <w:gridSpan w:val="3"/>
            <w:vAlign w:val="center"/>
          </w:tcPr>
          <w:p w14:paraId="63E07A55" w14:textId="77777777" w:rsidR="00A1306B" w:rsidRDefault="00A1306B" w:rsidP="00A1306B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 w:rsidRPr="007C7496">
              <w:rPr>
                <w:rFonts w:ascii="Gill Sans MT" w:hAnsi="Gill Sans MT" w:cs="Arial"/>
              </w:rPr>
              <w:t xml:space="preserve">Occasional Travel within the UK and to other shareholder or </w:t>
            </w:r>
            <w:proofErr w:type="spellStart"/>
            <w:r w:rsidRPr="007C7496">
              <w:rPr>
                <w:rFonts w:ascii="Gill Sans MT" w:hAnsi="Gill Sans MT" w:cs="Arial"/>
              </w:rPr>
              <w:t>neighbouring</w:t>
            </w:r>
            <w:proofErr w:type="spellEnd"/>
            <w:r w:rsidRPr="007C7496">
              <w:rPr>
                <w:rFonts w:ascii="Gill Sans MT" w:hAnsi="Gill Sans MT" w:cs="Arial"/>
              </w:rPr>
              <w:t xml:space="preserve"> sites may be required</w:t>
            </w:r>
            <w:r>
              <w:rPr>
                <w:rFonts w:ascii="Gill Sans MT" w:hAnsi="Gill Sans MT" w:cs="Arial"/>
              </w:rPr>
              <w:t>.</w:t>
            </w:r>
          </w:p>
          <w:p w14:paraId="37685970" w14:textId="361D98FA" w:rsidR="00755AAB" w:rsidRPr="00A1306B" w:rsidRDefault="00755AAB" w:rsidP="00A1306B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The role holder must be able to work flexibly when required to meet the needs of the organisation.</w:t>
            </w:r>
          </w:p>
          <w:p w14:paraId="1CAFD6F2" w14:textId="652E8E3C" w:rsidR="00010B75" w:rsidRPr="009E2A94" w:rsidRDefault="00A1306B" w:rsidP="00A1306B">
            <w:pPr>
              <w:pStyle w:val="ListParagraph"/>
              <w:numPr>
                <w:ilvl w:val="0"/>
                <w:numId w:val="16"/>
              </w:numPr>
              <w:ind w:left="431" w:hanging="425"/>
              <w:jc w:val="both"/>
              <w:rPr>
                <w:rFonts w:ascii="Gill Sans MT" w:hAnsi="Gill Sans MT" w:cs="Arial"/>
                <w:lang w:val="en-GB"/>
              </w:rPr>
            </w:pPr>
            <w:r w:rsidRPr="00E3303D">
              <w:rPr>
                <w:rFonts w:ascii="Gill Sans MT" w:hAnsi="Gill Sans MT" w:cs="Arial"/>
              </w:rPr>
              <w:t xml:space="preserve">The </w:t>
            </w:r>
            <w:r w:rsidR="00755AAB">
              <w:rPr>
                <w:rFonts w:ascii="Gill Sans MT" w:hAnsi="Gill Sans MT" w:cs="Arial"/>
              </w:rPr>
              <w:t>role</w:t>
            </w:r>
            <w:r w:rsidRPr="00E3303D">
              <w:rPr>
                <w:rFonts w:ascii="Gill Sans MT" w:hAnsi="Gill Sans MT" w:cs="Arial"/>
              </w:rPr>
              <w:t xml:space="preserve"> holder must have a good level of fitness and be able to work at height</w:t>
            </w:r>
            <w:r>
              <w:rPr>
                <w:rFonts w:ascii="Gill Sans MT" w:hAnsi="Gill Sans MT" w:cs="Arial"/>
              </w:rPr>
              <w:t xml:space="preserve"> and potentially in confined spaces</w:t>
            </w:r>
            <w:r w:rsidRPr="00E3303D">
              <w:rPr>
                <w:rFonts w:ascii="Gill Sans MT" w:hAnsi="Gill Sans MT" w:cs="Arial"/>
              </w:rPr>
              <w:t>.</w:t>
            </w:r>
          </w:p>
        </w:tc>
      </w:tr>
    </w:tbl>
    <w:p w14:paraId="1CAFD6F4" w14:textId="77777777" w:rsidR="00AA083A" w:rsidRPr="00716C7A" w:rsidRDefault="00AA083A" w:rsidP="00CC108E">
      <w:pPr>
        <w:rPr>
          <w:rFonts w:cs="Arial"/>
          <w:sz w:val="22"/>
          <w:szCs w:val="22"/>
        </w:rPr>
      </w:pPr>
    </w:p>
    <w:p w14:paraId="1CAFD6F5" w14:textId="54FBE9A3" w:rsidR="00AA083A" w:rsidRDefault="00AA083A" w:rsidP="00CC108E">
      <w:pPr>
        <w:jc w:val="center"/>
        <w:rPr>
          <w:rFonts w:cs="Arial"/>
          <w:b/>
          <w:sz w:val="22"/>
          <w:szCs w:val="22"/>
        </w:rPr>
      </w:pPr>
    </w:p>
    <w:p w14:paraId="2808CB6F" w14:textId="77777777" w:rsidR="00044A18" w:rsidRPr="00716C7A" w:rsidRDefault="00044A18" w:rsidP="00CC108E">
      <w:pPr>
        <w:jc w:val="center"/>
        <w:rPr>
          <w:rFonts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63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435596" w:rsidRPr="00097D72" w14:paraId="0BA50E00" w14:textId="77777777" w:rsidTr="004E3141">
        <w:trPr>
          <w:trHeight w:val="70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7842BC" w14:textId="77777777" w:rsidR="00435596" w:rsidRPr="009E2A94" w:rsidRDefault="00435596" w:rsidP="007C4197">
            <w:pPr>
              <w:jc w:val="center"/>
              <w:rPr>
                <w:rFonts w:ascii="Gill Sans MT" w:hAnsi="Gill Sans MT" w:cs="Arial"/>
              </w:rPr>
            </w:pPr>
            <w:r w:rsidRPr="009E2A94">
              <w:rPr>
                <w:rFonts w:ascii="Gill Sans MT" w:hAnsi="Gill Sans MT" w:cs="Arial"/>
              </w:rPr>
              <w:t>I have received, reviewed and fully understand the contents contained within the job description</w:t>
            </w:r>
          </w:p>
        </w:tc>
      </w:tr>
      <w:tr w:rsidR="00435596" w:rsidRPr="00097D72" w14:paraId="2D33238A" w14:textId="77777777" w:rsidTr="001B53A3">
        <w:trPr>
          <w:trHeight w:val="99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6D876" w14:textId="77777777" w:rsidR="00435596" w:rsidRPr="009E2A94" w:rsidRDefault="00435596" w:rsidP="007C4197">
            <w:pPr>
              <w:rPr>
                <w:rFonts w:ascii="Gill Sans MT" w:hAnsi="Gill Sans MT" w:cs="Arial"/>
              </w:rPr>
            </w:pPr>
            <w:r w:rsidRPr="009E2A94">
              <w:rPr>
                <w:rFonts w:ascii="Gill Sans MT" w:hAnsi="Gill Sans MT" w:cs="Arial"/>
              </w:rPr>
              <w:t>Employee Signature:</w:t>
            </w:r>
          </w:p>
          <w:p w14:paraId="457B0521" w14:textId="77777777" w:rsidR="00435596" w:rsidRPr="009E2A94" w:rsidRDefault="00435596" w:rsidP="007C4197">
            <w:pPr>
              <w:rPr>
                <w:rFonts w:ascii="Gill Sans MT" w:hAnsi="Gill Sans MT" w:cs="Arial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89CC" w14:textId="77777777" w:rsidR="00435596" w:rsidRPr="009E2A94" w:rsidRDefault="00435596" w:rsidP="007C4197">
            <w:pPr>
              <w:rPr>
                <w:rFonts w:ascii="Gill Sans MT" w:hAnsi="Gill Sans MT" w:cs="Arial"/>
              </w:rPr>
            </w:pPr>
            <w:r w:rsidRPr="009E2A94">
              <w:rPr>
                <w:rFonts w:ascii="Gill Sans MT" w:hAnsi="Gill Sans MT" w:cs="Arial"/>
              </w:rPr>
              <w:t>Date:</w:t>
            </w:r>
          </w:p>
        </w:tc>
      </w:tr>
    </w:tbl>
    <w:p w14:paraId="1CAFD700" w14:textId="77777777" w:rsidR="00207337" w:rsidRPr="00716C7A" w:rsidRDefault="00207337" w:rsidP="00435596">
      <w:pPr>
        <w:rPr>
          <w:rFonts w:cs="Arial"/>
          <w:sz w:val="22"/>
          <w:szCs w:val="22"/>
        </w:rPr>
      </w:pPr>
    </w:p>
    <w:sectPr w:rsidR="00207337" w:rsidRPr="00716C7A" w:rsidSect="00673496">
      <w:headerReference w:type="default" r:id="rId10"/>
      <w:pgSz w:w="11906" w:h="16838"/>
      <w:pgMar w:top="2127" w:right="1440" w:bottom="993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A401" w14:textId="77777777" w:rsidR="003F7F31" w:rsidRDefault="003F7F31" w:rsidP="00850FC1">
      <w:r>
        <w:separator/>
      </w:r>
    </w:p>
  </w:endnote>
  <w:endnote w:type="continuationSeparator" w:id="0">
    <w:p w14:paraId="4FE27E91" w14:textId="77777777" w:rsidR="003F7F31" w:rsidRDefault="003F7F31" w:rsidP="00850FC1">
      <w:r>
        <w:continuationSeparator/>
      </w:r>
    </w:p>
  </w:endnote>
  <w:endnote w:type="continuationNotice" w:id="1">
    <w:p w14:paraId="09FF1194" w14:textId="77777777" w:rsidR="003F7F31" w:rsidRDefault="003F7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1EFE" w14:textId="77777777" w:rsidR="003F7F31" w:rsidRDefault="003F7F31" w:rsidP="00850FC1">
      <w:r>
        <w:separator/>
      </w:r>
    </w:p>
  </w:footnote>
  <w:footnote w:type="continuationSeparator" w:id="0">
    <w:p w14:paraId="0D022C3E" w14:textId="77777777" w:rsidR="003F7F31" w:rsidRDefault="003F7F31" w:rsidP="00850FC1">
      <w:r>
        <w:continuationSeparator/>
      </w:r>
    </w:p>
  </w:footnote>
  <w:footnote w:type="continuationNotice" w:id="1">
    <w:p w14:paraId="5D27D591" w14:textId="77777777" w:rsidR="003F7F31" w:rsidRDefault="003F7F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D70B" w14:textId="526B8D02" w:rsidR="00850FC1" w:rsidRDefault="00DF390E" w:rsidP="00DF390E">
    <w:pPr>
      <w:pStyle w:val="Header"/>
      <w:rPr>
        <w:rFonts w:cs="Arial"/>
        <w:b/>
        <w:sz w:val="32"/>
        <w:szCs w:val="32"/>
      </w:rPr>
    </w:pPr>
    <w:r w:rsidRPr="00A53F24">
      <w:rPr>
        <w:rFonts w:cs="Arial"/>
        <w:b/>
        <w:sz w:val="32"/>
        <w:szCs w:val="32"/>
      </w:rPr>
      <w:t xml:space="preserve"> </w:t>
    </w:r>
    <w:r w:rsidR="00A53F24" w:rsidRPr="00A53F24">
      <w:rPr>
        <w:rFonts w:cs="Arial"/>
        <w:b/>
        <w:sz w:val="32"/>
        <w:szCs w:val="32"/>
      </w:rPr>
      <w:tab/>
    </w:r>
    <w:r w:rsidR="002E6FE7">
      <w:rPr>
        <w:rFonts w:cs="Arial"/>
        <w:b/>
        <w:sz w:val="32"/>
        <w:szCs w:val="32"/>
      </w:rPr>
      <w:tab/>
      <w:t xml:space="preserve"> </w:t>
    </w:r>
    <w:r w:rsidR="002E6FE7">
      <w:rPr>
        <w:rFonts w:cs="Arial"/>
        <w:b/>
        <w:noProof/>
        <w:sz w:val="32"/>
        <w:szCs w:val="32"/>
      </w:rPr>
      <w:drawing>
        <wp:inline distT="0" distB="0" distL="0" distR="0" wp14:anchorId="64963B7D" wp14:editId="688BCBC2">
          <wp:extent cx="1981200" cy="990600"/>
          <wp:effectExtent l="0" t="0" r="0" b="0"/>
          <wp:docPr id="1586964026" name="Picture 1586964026" descr="A red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453494" name="Picture 1" descr="A red and green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588" cy="99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ADEAA" w14:textId="4E8CFE9E" w:rsidR="00673496" w:rsidRPr="00A53F24" w:rsidRDefault="00673496" w:rsidP="00673496">
    <w:pPr>
      <w:pStyle w:val="Header"/>
      <w:jc w:val="center"/>
      <w:rPr>
        <w:rFonts w:cs="Arial"/>
        <w:b/>
        <w:sz w:val="32"/>
        <w:szCs w:val="32"/>
      </w:rPr>
    </w:pPr>
    <w:r w:rsidRPr="00A53F24">
      <w:rPr>
        <w:rFonts w:cs="Arial"/>
        <w:b/>
        <w:sz w:val="32"/>
        <w:szCs w:val="3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854B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F3DB4"/>
    <w:multiLevelType w:val="hybridMultilevel"/>
    <w:tmpl w:val="0E5E9150"/>
    <w:lvl w:ilvl="0" w:tplc="08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2EA006D"/>
    <w:multiLevelType w:val="hybridMultilevel"/>
    <w:tmpl w:val="F67EC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F1C25"/>
    <w:multiLevelType w:val="multilevel"/>
    <w:tmpl w:val="E9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A2ADE"/>
    <w:multiLevelType w:val="hybridMultilevel"/>
    <w:tmpl w:val="604CE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64D"/>
    <w:multiLevelType w:val="hybridMultilevel"/>
    <w:tmpl w:val="B95A67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06B1B"/>
    <w:multiLevelType w:val="hybridMultilevel"/>
    <w:tmpl w:val="05724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6EF9"/>
    <w:multiLevelType w:val="hybridMultilevel"/>
    <w:tmpl w:val="3700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D5B3F"/>
    <w:multiLevelType w:val="hybridMultilevel"/>
    <w:tmpl w:val="98C2CF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80DD7"/>
    <w:multiLevelType w:val="hybridMultilevel"/>
    <w:tmpl w:val="3E6E91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2268"/>
    <w:multiLevelType w:val="hybridMultilevel"/>
    <w:tmpl w:val="52EE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128CE"/>
    <w:multiLevelType w:val="hybridMultilevel"/>
    <w:tmpl w:val="67FA5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738CD"/>
    <w:multiLevelType w:val="hybridMultilevel"/>
    <w:tmpl w:val="0BD2E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A7E58"/>
    <w:multiLevelType w:val="hybridMultilevel"/>
    <w:tmpl w:val="7C32F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53FA8"/>
    <w:multiLevelType w:val="hybridMultilevel"/>
    <w:tmpl w:val="0C383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16AEE"/>
    <w:multiLevelType w:val="multilevel"/>
    <w:tmpl w:val="D980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1940D8"/>
    <w:multiLevelType w:val="hybridMultilevel"/>
    <w:tmpl w:val="AE6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13BDD"/>
    <w:multiLevelType w:val="hybridMultilevel"/>
    <w:tmpl w:val="ABEC0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0E238E"/>
    <w:multiLevelType w:val="multilevel"/>
    <w:tmpl w:val="48CA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925E67"/>
    <w:multiLevelType w:val="hybridMultilevel"/>
    <w:tmpl w:val="A84E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5279E"/>
    <w:multiLevelType w:val="hybridMultilevel"/>
    <w:tmpl w:val="39304F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A7D53"/>
    <w:multiLevelType w:val="multilevel"/>
    <w:tmpl w:val="7BAC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756C5C"/>
    <w:multiLevelType w:val="multilevel"/>
    <w:tmpl w:val="A0D8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34647"/>
    <w:multiLevelType w:val="hybridMultilevel"/>
    <w:tmpl w:val="9FBC9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55842"/>
    <w:multiLevelType w:val="hybridMultilevel"/>
    <w:tmpl w:val="51C2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13B40"/>
    <w:multiLevelType w:val="hybridMultilevel"/>
    <w:tmpl w:val="71067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12934"/>
    <w:multiLevelType w:val="hybridMultilevel"/>
    <w:tmpl w:val="CB38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802">
    <w:abstractNumId w:val="1"/>
  </w:num>
  <w:num w:numId="2" w16cid:durableId="2064331482">
    <w:abstractNumId w:val="14"/>
  </w:num>
  <w:num w:numId="3" w16cid:durableId="2121023860">
    <w:abstractNumId w:val="6"/>
  </w:num>
  <w:num w:numId="4" w16cid:durableId="1443719667">
    <w:abstractNumId w:val="25"/>
  </w:num>
  <w:num w:numId="5" w16cid:durableId="23943731">
    <w:abstractNumId w:val="2"/>
  </w:num>
  <w:num w:numId="6" w16cid:durableId="613633321">
    <w:abstractNumId w:val="5"/>
  </w:num>
  <w:num w:numId="7" w16cid:durableId="807092129">
    <w:abstractNumId w:val="24"/>
  </w:num>
  <w:num w:numId="8" w16cid:durableId="1282609089">
    <w:abstractNumId w:val="12"/>
  </w:num>
  <w:num w:numId="9" w16cid:durableId="172690952">
    <w:abstractNumId w:val="9"/>
  </w:num>
  <w:num w:numId="10" w16cid:durableId="759907170">
    <w:abstractNumId w:val="8"/>
  </w:num>
  <w:num w:numId="11" w16cid:durableId="1424303813">
    <w:abstractNumId w:val="20"/>
  </w:num>
  <w:num w:numId="12" w16cid:durableId="525101891">
    <w:abstractNumId w:val="17"/>
  </w:num>
  <w:num w:numId="13" w16cid:durableId="939525849">
    <w:abstractNumId w:val="4"/>
  </w:num>
  <w:num w:numId="14" w16cid:durableId="53898315">
    <w:abstractNumId w:val="26"/>
  </w:num>
  <w:num w:numId="15" w16cid:durableId="382020649">
    <w:abstractNumId w:val="19"/>
  </w:num>
  <w:num w:numId="16" w16cid:durableId="80178304">
    <w:abstractNumId w:val="11"/>
  </w:num>
  <w:num w:numId="17" w16cid:durableId="2092893446">
    <w:abstractNumId w:val="17"/>
  </w:num>
  <w:num w:numId="18" w16cid:durableId="2086106937">
    <w:abstractNumId w:val="13"/>
  </w:num>
  <w:num w:numId="19" w16cid:durableId="270863040">
    <w:abstractNumId w:val="7"/>
  </w:num>
  <w:num w:numId="20" w16cid:durableId="921137721">
    <w:abstractNumId w:val="23"/>
  </w:num>
  <w:num w:numId="21" w16cid:durableId="966594175">
    <w:abstractNumId w:val="16"/>
  </w:num>
  <w:num w:numId="22" w16cid:durableId="1233084406">
    <w:abstractNumId w:val="10"/>
  </w:num>
  <w:num w:numId="23" w16cid:durableId="436948782">
    <w:abstractNumId w:val="15"/>
  </w:num>
  <w:num w:numId="24" w16cid:durableId="627202406">
    <w:abstractNumId w:val="3"/>
  </w:num>
  <w:num w:numId="25" w16cid:durableId="1289241426">
    <w:abstractNumId w:val="18"/>
  </w:num>
  <w:num w:numId="26" w16cid:durableId="1847018396">
    <w:abstractNumId w:val="21"/>
  </w:num>
  <w:num w:numId="27" w16cid:durableId="1183476685">
    <w:abstractNumId w:val="22"/>
  </w:num>
  <w:num w:numId="28" w16cid:durableId="37755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3A"/>
    <w:rsid w:val="000052E2"/>
    <w:rsid w:val="00007EDA"/>
    <w:rsid w:val="00010B75"/>
    <w:rsid w:val="00012917"/>
    <w:rsid w:val="0002010F"/>
    <w:rsid w:val="00021630"/>
    <w:rsid w:val="000221C0"/>
    <w:rsid w:val="000224F4"/>
    <w:rsid w:val="000428D4"/>
    <w:rsid w:val="00044A18"/>
    <w:rsid w:val="00051121"/>
    <w:rsid w:val="00052B73"/>
    <w:rsid w:val="00061B64"/>
    <w:rsid w:val="0007116D"/>
    <w:rsid w:val="0007323A"/>
    <w:rsid w:val="00087431"/>
    <w:rsid w:val="00091843"/>
    <w:rsid w:val="000926B6"/>
    <w:rsid w:val="00097279"/>
    <w:rsid w:val="000A3CA1"/>
    <w:rsid w:val="000A7ABE"/>
    <w:rsid w:val="000C2A47"/>
    <w:rsid w:val="000C4425"/>
    <w:rsid w:val="000D0F8F"/>
    <w:rsid w:val="000D6652"/>
    <w:rsid w:val="000E66AE"/>
    <w:rsid w:val="00105E2D"/>
    <w:rsid w:val="00114C38"/>
    <w:rsid w:val="00124696"/>
    <w:rsid w:val="00132058"/>
    <w:rsid w:val="00137432"/>
    <w:rsid w:val="00141365"/>
    <w:rsid w:val="00151F11"/>
    <w:rsid w:val="0015322F"/>
    <w:rsid w:val="001615A5"/>
    <w:rsid w:val="00167449"/>
    <w:rsid w:val="001A2D51"/>
    <w:rsid w:val="001A5000"/>
    <w:rsid w:val="001B3407"/>
    <w:rsid w:val="001B53A3"/>
    <w:rsid w:val="001B6E43"/>
    <w:rsid w:val="001C63C3"/>
    <w:rsid w:val="001C7D4B"/>
    <w:rsid w:val="002033E9"/>
    <w:rsid w:val="00207337"/>
    <w:rsid w:val="00210D5A"/>
    <w:rsid w:val="00223847"/>
    <w:rsid w:val="002403B7"/>
    <w:rsid w:val="0024335B"/>
    <w:rsid w:val="002463B9"/>
    <w:rsid w:val="00247FA9"/>
    <w:rsid w:val="00262FB3"/>
    <w:rsid w:val="00276241"/>
    <w:rsid w:val="00280107"/>
    <w:rsid w:val="00281AA0"/>
    <w:rsid w:val="00282409"/>
    <w:rsid w:val="002827CD"/>
    <w:rsid w:val="00286C07"/>
    <w:rsid w:val="0029266C"/>
    <w:rsid w:val="0029782B"/>
    <w:rsid w:val="002A1283"/>
    <w:rsid w:val="002B1C27"/>
    <w:rsid w:val="002B3887"/>
    <w:rsid w:val="002B6A8E"/>
    <w:rsid w:val="002B7E1A"/>
    <w:rsid w:val="002C15EF"/>
    <w:rsid w:val="002C592F"/>
    <w:rsid w:val="002D2A7A"/>
    <w:rsid w:val="002E3D01"/>
    <w:rsid w:val="002E6FE7"/>
    <w:rsid w:val="002E7B4C"/>
    <w:rsid w:val="002F1406"/>
    <w:rsid w:val="0030029C"/>
    <w:rsid w:val="003063EE"/>
    <w:rsid w:val="00307B3B"/>
    <w:rsid w:val="00312972"/>
    <w:rsid w:val="00313809"/>
    <w:rsid w:val="0031469D"/>
    <w:rsid w:val="003202EA"/>
    <w:rsid w:val="00340F64"/>
    <w:rsid w:val="00343B23"/>
    <w:rsid w:val="003474E5"/>
    <w:rsid w:val="00352A29"/>
    <w:rsid w:val="00355F46"/>
    <w:rsid w:val="00364496"/>
    <w:rsid w:val="003644DD"/>
    <w:rsid w:val="003673E4"/>
    <w:rsid w:val="0037090E"/>
    <w:rsid w:val="00372B13"/>
    <w:rsid w:val="00372FFE"/>
    <w:rsid w:val="003751C0"/>
    <w:rsid w:val="00384F8C"/>
    <w:rsid w:val="0038620A"/>
    <w:rsid w:val="00386706"/>
    <w:rsid w:val="003931F1"/>
    <w:rsid w:val="003962A1"/>
    <w:rsid w:val="003A4BFA"/>
    <w:rsid w:val="003A4EE4"/>
    <w:rsid w:val="003B18EE"/>
    <w:rsid w:val="003B2F62"/>
    <w:rsid w:val="003B32D7"/>
    <w:rsid w:val="003B6E1E"/>
    <w:rsid w:val="003C5DB3"/>
    <w:rsid w:val="003D0394"/>
    <w:rsid w:val="003D4DA9"/>
    <w:rsid w:val="003D5B65"/>
    <w:rsid w:val="003D67E8"/>
    <w:rsid w:val="003E40E8"/>
    <w:rsid w:val="003F05C0"/>
    <w:rsid w:val="003F7F31"/>
    <w:rsid w:val="003F7F5C"/>
    <w:rsid w:val="00406E97"/>
    <w:rsid w:val="00410C4A"/>
    <w:rsid w:val="00417A52"/>
    <w:rsid w:val="00423578"/>
    <w:rsid w:val="00433009"/>
    <w:rsid w:val="00433A47"/>
    <w:rsid w:val="00435596"/>
    <w:rsid w:val="00440F24"/>
    <w:rsid w:val="00445E37"/>
    <w:rsid w:val="00451917"/>
    <w:rsid w:val="00453C09"/>
    <w:rsid w:val="00460B39"/>
    <w:rsid w:val="00464B6C"/>
    <w:rsid w:val="004668C3"/>
    <w:rsid w:val="004712FA"/>
    <w:rsid w:val="00472204"/>
    <w:rsid w:val="00472AE5"/>
    <w:rsid w:val="00474A73"/>
    <w:rsid w:val="00484B4C"/>
    <w:rsid w:val="004902D5"/>
    <w:rsid w:val="004963F3"/>
    <w:rsid w:val="004A1389"/>
    <w:rsid w:val="004C0EBC"/>
    <w:rsid w:val="004C7F82"/>
    <w:rsid w:val="004D0205"/>
    <w:rsid w:val="004D6E63"/>
    <w:rsid w:val="004D7CB5"/>
    <w:rsid w:val="004E1760"/>
    <w:rsid w:val="004E3141"/>
    <w:rsid w:val="005021F9"/>
    <w:rsid w:val="0051130E"/>
    <w:rsid w:val="00530D2A"/>
    <w:rsid w:val="0053757A"/>
    <w:rsid w:val="00554840"/>
    <w:rsid w:val="00554F25"/>
    <w:rsid w:val="005558AD"/>
    <w:rsid w:val="00581FA6"/>
    <w:rsid w:val="0059046B"/>
    <w:rsid w:val="005A08BE"/>
    <w:rsid w:val="005A284C"/>
    <w:rsid w:val="005A3511"/>
    <w:rsid w:val="005B41DE"/>
    <w:rsid w:val="005B49C5"/>
    <w:rsid w:val="005B6CAD"/>
    <w:rsid w:val="005B7394"/>
    <w:rsid w:val="005C1FF2"/>
    <w:rsid w:val="005C2804"/>
    <w:rsid w:val="005C331E"/>
    <w:rsid w:val="005D30C6"/>
    <w:rsid w:val="005D45CD"/>
    <w:rsid w:val="005D77D4"/>
    <w:rsid w:val="005E3C5C"/>
    <w:rsid w:val="005F478C"/>
    <w:rsid w:val="005F496F"/>
    <w:rsid w:val="0060417F"/>
    <w:rsid w:val="00604B41"/>
    <w:rsid w:val="00613019"/>
    <w:rsid w:val="00620ADD"/>
    <w:rsid w:val="00646BA1"/>
    <w:rsid w:val="00650DFB"/>
    <w:rsid w:val="006704EF"/>
    <w:rsid w:val="00673496"/>
    <w:rsid w:val="00674B55"/>
    <w:rsid w:val="00677920"/>
    <w:rsid w:val="00677C96"/>
    <w:rsid w:val="0068710E"/>
    <w:rsid w:val="006871B5"/>
    <w:rsid w:val="00697E0B"/>
    <w:rsid w:val="006A020D"/>
    <w:rsid w:val="006A6DCB"/>
    <w:rsid w:val="006B08F0"/>
    <w:rsid w:val="006B4930"/>
    <w:rsid w:val="006B6C41"/>
    <w:rsid w:val="006D30D2"/>
    <w:rsid w:val="006F02A5"/>
    <w:rsid w:val="006F6A68"/>
    <w:rsid w:val="00711317"/>
    <w:rsid w:val="00713F97"/>
    <w:rsid w:val="00716C7A"/>
    <w:rsid w:val="00722530"/>
    <w:rsid w:val="007237CE"/>
    <w:rsid w:val="00724FBB"/>
    <w:rsid w:val="00736C01"/>
    <w:rsid w:val="007450C7"/>
    <w:rsid w:val="00745F4D"/>
    <w:rsid w:val="00755AAB"/>
    <w:rsid w:val="007624B3"/>
    <w:rsid w:val="00765CB4"/>
    <w:rsid w:val="007851FC"/>
    <w:rsid w:val="007928ED"/>
    <w:rsid w:val="007948E8"/>
    <w:rsid w:val="007A3172"/>
    <w:rsid w:val="007B3EA1"/>
    <w:rsid w:val="007C4197"/>
    <w:rsid w:val="007C4A88"/>
    <w:rsid w:val="007D5565"/>
    <w:rsid w:val="007E060E"/>
    <w:rsid w:val="007E0D42"/>
    <w:rsid w:val="007E45C3"/>
    <w:rsid w:val="007F1FB0"/>
    <w:rsid w:val="007F6E84"/>
    <w:rsid w:val="00800788"/>
    <w:rsid w:val="00816C02"/>
    <w:rsid w:val="0082501C"/>
    <w:rsid w:val="0084798C"/>
    <w:rsid w:val="00847CB7"/>
    <w:rsid w:val="00850FC1"/>
    <w:rsid w:val="00851DFB"/>
    <w:rsid w:val="00852DB2"/>
    <w:rsid w:val="00881F3A"/>
    <w:rsid w:val="008A0E5C"/>
    <w:rsid w:val="008A361F"/>
    <w:rsid w:val="008A7317"/>
    <w:rsid w:val="008C295E"/>
    <w:rsid w:val="008C3BC4"/>
    <w:rsid w:val="008C710B"/>
    <w:rsid w:val="008D72A1"/>
    <w:rsid w:val="008E463D"/>
    <w:rsid w:val="008F6BA0"/>
    <w:rsid w:val="00901BC5"/>
    <w:rsid w:val="009025E2"/>
    <w:rsid w:val="0090514A"/>
    <w:rsid w:val="00912636"/>
    <w:rsid w:val="00915B0D"/>
    <w:rsid w:val="00926E33"/>
    <w:rsid w:val="00930AEC"/>
    <w:rsid w:val="00936160"/>
    <w:rsid w:val="009375A3"/>
    <w:rsid w:val="009470D2"/>
    <w:rsid w:val="009564CC"/>
    <w:rsid w:val="00970F97"/>
    <w:rsid w:val="0097319D"/>
    <w:rsid w:val="009732DC"/>
    <w:rsid w:val="00973AA6"/>
    <w:rsid w:val="0098001F"/>
    <w:rsid w:val="009804B9"/>
    <w:rsid w:val="0098215A"/>
    <w:rsid w:val="009831A4"/>
    <w:rsid w:val="009911E7"/>
    <w:rsid w:val="009A094C"/>
    <w:rsid w:val="009A7CF8"/>
    <w:rsid w:val="009B1834"/>
    <w:rsid w:val="009B3B56"/>
    <w:rsid w:val="009C3630"/>
    <w:rsid w:val="009D07BC"/>
    <w:rsid w:val="009D2E4A"/>
    <w:rsid w:val="009E2A94"/>
    <w:rsid w:val="009E595C"/>
    <w:rsid w:val="009E7432"/>
    <w:rsid w:val="009F0B61"/>
    <w:rsid w:val="009F2170"/>
    <w:rsid w:val="009F30CF"/>
    <w:rsid w:val="009F35BB"/>
    <w:rsid w:val="00A00535"/>
    <w:rsid w:val="00A052C7"/>
    <w:rsid w:val="00A1306B"/>
    <w:rsid w:val="00A20E9A"/>
    <w:rsid w:val="00A24486"/>
    <w:rsid w:val="00A34D27"/>
    <w:rsid w:val="00A43248"/>
    <w:rsid w:val="00A50528"/>
    <w:rsid w:val="00A53F24"/>
    <w:rsid w:val="00A61101"/>
    <w:rsid w:val="00A714F1"/>
    <w:rsid w:val="00A74ADB"/>
    <w:rsid w:val="00AA083A"/>
    <w:rsid w:val="00AA25C5"/>
    <w:rsid w:val="00AB301C"/>
    <w:rsid w:val="00AC0325"/>
    <w:rsid w:val="00AC6F5A"/>
    <w:rsid w:val="00AE2D5C"/>
    <w:rsid w:val="00AE3C01"/>
    <w:rsid w:val="00AF36B5"/>
    <w:rsid w:val="00AF6221"/>
    <w:rsid w:val="00B16A34"/>
    <w:rsid w:val="00B235F7"/>
    <w:rsid w:val="00B25BCC"/>
    <w:rsid w:val="00B31F0B"/>
    <w:rsid w:val="00B427D6"/>
    <w:rsid w:val="00B44A7E"/>
    <w:rsid w:val="00B4620A"/>
    <w:rsid w:val="00B5699D"/>
    <w:rsid w:val="00B877AC"/>
    <w:rsid w:val="00B924F6"/>
    <w:rsid w:val="00BA164F"/>
    <w:rsid w:val="00BB1494"/>
    <w:rsid w:val="00BB3789"/>
    <w:rsid w:val="00BC7363"/>
    <w:rsid w:val="00BD5543"/>
    <w:rsid w:val="00BE648E"/>
    <w:rsid w:val="00BE78F9"/>
    <w:rsid w:val="00BF3499"/>
    <w:rsid w:val="00BF4141"/>
    <w:rsid w:val="00BF76ED"/>
    <w:rsid w:val="00BF7831"/>
    <w:rsid w:val="00C034A5"/>
    <w:rsid w:val="00C04E41"/>
    <w:rsid w:val="00C14123"/>
    <w:rsid w:val="00C21642"/>
    <w:rsid w:val="00C2435A"/>
    <w:rsid w:val="00C27576"/>
    <w:rsid w:val="00C31E6B"/>
    <w:rsid w:val="00C33740"/>
    <w:rsid w:val="00C35898"/>
    <w:rsid w:val="00C46330"/>
    <w:rsid w:val="00C56B5D"/>
    <w:rsid w:val="00C616FF"/>
    <w:rsid w:val="00C61951"/>
    <w:rsid w:val="00C61CEF"/>
    <w:rsid w:val="00C73ED6"/>
    <w:rsid w:val="00C87D3E"/>
    <w:rsid w:val="00C92648"/>
    <w:rsid w:val="00C9694A"/>
    <w:rsid w:val="00CA78A8"/>
    <w:rsid w:val="00CB03F6"/>
    <w:rsid w:val="00CB1B71"/>
    <w:rsid w:val="00CB227C"/>
    <w:rsid w:val="00CC108E"/>
    <w:rsid w:val="00CC2D81"/>
    <w:rsid w:val="00CD2DC9"/>
    <w:rsid w:val="00CD3BF4"/>
    <w:rsid w:val="00CE461F"/>
    <w:rsid w:val="00CE6C94"/>
    <w:rsid w:val="00CF5476"/>
    <w:rsid w:val="00D00CDC"/>
    <w:rsid w:val="00D104D2"/>
    <w:rsid w:val="00D113CA"/>
    <w:rsid w:val="00D1473B"/>
    <w:rsid w:val="00D17771"/>
    <w:rsid w:val="00D233B1"/>
    <w:rsid w:val="00D25158"/>
    <w:rsid w:val="00D32226"/>
    <w:rsid w:val="00D37A98"/>
    <w:rsid w:val="00D61299"/>
    <w:rsid w:val="00D7596A"/>
    <w:rsid w:val="00D969D7"/>
    <w:rsid w:val="00DA5C88"/>
    <w:rsid w:val="00DB130F"/>
    <w:rsid w:val="00DB3A60"/>
    <w:rsid w:val="00DC4A12"/>
    <w:rsid w:val="00DC67E1"/>
    <w:rsid w:val="00DD5CC6"/>
    <w:rsid w:val="00DD7078"/>
    <w:rsid w:val="00DD74A7"/>
    <w:rsid w:val="00DD7501"/>
    <w:rsid w:val="00DE52F6"/>
    <w:rsid w:val="00DE6465"/>
    <w:rsid w:val="00DF00BB"/>
    <w:rsid w:val="00DF390E"/>
    <w:rsid w:val="00E00B9C"/>
    <w:rsid w:val="00E018EC"/>
    <w:rsid w:val="00E107B8"/>
    <w:rsid w:val="00E136AB"/>
    <w:rsid w:val="00E310B6"/>
    <w:rsid w:val="00E40394"/>
    <w:rsid w:val="00E42C8A"/>
    <w:rsid w:val="00E47ADF"/>
    <w:rsid w:val="00E5190F"/>
    <w:rsid w:val="00E526E6"/>
    <w:rsid w:val="00E553A5"/>
    <w:rsid w:val="00E60A36"/>
    <w:rsid w:val="00E62074"/>
    <w:rsid w:val="00E6265F"/>
    <w:rsid w:val="00E6645B"/>
    <w:rsid w:val="00E83916"/>
    <w:rsid w:val="00E83DAB"/>
    <w:rsid w:val="00E84B4A"/>
    <w:rsid w:val="00E85883"/>
    <w:rsid w:val="00E87499"/>
    <w:rsid w:val="00E916E2"/>
    <w:rsid w:val="00E95109"/>
    <w:rsid w:val="00EA3456"/>
    <w:rsid w:val="00EA6130"/>
    <w:rsid w:val="00EB0A94"/>
    <w:rsid w:val="00EB144E"/>
    <w:rsid w:val="00EC5D13"/>
    <w:rsid w:val="00EC6651"/>
    <w:rsid w:val="00ED4684"/>
    <w:rsid w:val="00EE23A4"/>
    <w:rsid w:val="00EE6045"/>
    <w:rsid w:val="00EF7B34"/>
    <w:rsid w:val="00F06641"/>
    <w:rsid w:val="00F066EA"/>
    <w:rsid w:val="00F140FF"/>
    <w:rsid w:val="00F344D0"/>
    <w:rsid w:val="00F409DC"/>
    <w:rsid w:val="00F52178"/>
    <w:rsid w:val="00F52ED8"/>
    <w:rsid w:val="00F56D7A"/>
    <w:rsid w:val="00F56FD2"/>
    <w:rsid w:val="00F576CB"/>
    <w:rsid w:val="00F7134E"/>
    <w:rsid w:val="00F73C09"/>
    <w:rsid w:val="00F86ED5"/>
    <w:rsid w:val="00F87F89"/>
    <w:rsid w:val="00FA24AC"/>
    <w:rsid w:val="00FA4F21"/>
    <w:rsid w:val="00FA7771"/>
    <w:rsid w:val="00FB208C"/>
    <w:rsid w:val="00FB3C73"/>
    <w:rsid w:val="00FC0E78"/>
    <w:rsid w:val="00FC72EB"/>
    <w:rsid w:val="00FE031F"/>
    <w:rsid w:val="00FE0EE0"/>
    <w:rsid w:val="00FE3804"/>
    <w:rsid w:val="00FF1470"/>
    <w:rsid w:val="00FF5711"/>
    <w:rsid w:val="00FF590E"/>
    <w:rsid w:val="0210CFCE"/>
    <w:rsid w:val="0449CAFB"/>
    <w:rsid w:val="055C7CE1"/>
    <w:rsid w:val="083C4019"/>
    <w:rsid w:val="0D2C35FF"/>
    <w:rsid w:val="0F4E0913"/>
    <w:rsid w:val="0FCB2B88"/>
    <w:rsid w:val="15E0A339"/>
    <w:rsid w:val="1BBD03D9"/>
    <w:rsid w:val="1DC93EEF"/>
    <w:rsid w:val="1F173CA8"/>
    <w:rsid w:val="25CC78A4"/>
    <w:rsid w:val="2766B536"/>
    <w:rsid w:val="2E0C2E2C"/>
    <w:rsid w:val="3108FCFE"/>
    <w:rsid w:val="322AD2DA"/>
    <w:rsid w:val="3433CE5A"/>
    <w:rsid w:val="34695C8F"/>
    <w:rsid w:val="3540E443"/>
    <w:rsid w:val="36F0ADF2"/>
    <w:rsid w:val="395BD133"/>
    <w:rsid w:val="3B9172CF"/>
    <w:rsid w:val="3D0F974E"/>
    <w:rsid w:val="3E11D0F5"/>
    <w:rsid w:val="3F077475"/>
    <w:rsid w:val="40F28057"/>
    <w:rsid w:val="42F2F823"/>
    <w:rsid w:val="431A816B"/>
    <w:rsid w:val="44D13941"/>
    <w:rsid w:val="47ECEB9D"/>
    <w:rsid w:val="4B845476"/>
    <w:rsid w:val="4C331D9B"/>
    <w:rsid w:val="4CA17AD3"/>
    <w:rsid w:val="501C2553"/>
    <w:rsid w:val="539D2242"/>
    <w:rsid w:val="56822D2F"/>
    <w:rsid w:val="56E31042"/>
    <w:rsid w:val="57DFF241"/>
    <w:rsid w:val="5B6119FF"/>
    <w:rsid w:val="5FA8F363"/>
    <w:rsid w:val="61BE3918"/>
    <w:rsid w:val="6204E21F"/>
    <w:rsid w:val="63A468A8"/>
    <w:rsid w:val="63AA3C36"/>
    <w:rsid w:val="651F23F5"/>
    <w:rsid w:val="6A074239"/>
    <w:rsid w:val="6B0D2F24"/>
    <w:rsid w:val="6EAB41F8"/>
    <w:rsid w:val="760EF376"/>
    <w:rsid w:val="7B23BADE"/>
    <w:rsid w:val="7E28DE61"/>
    <w:rsid w:val="7FD3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FD63D"/>
  <w15:docId w15:val="{44629E20-0292-464B-9B32-DA5BA79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13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GB"/>
    </w:rPr>
  </w:style>
  <w:style w:type="paragraph" w:styleId="Heading3">
    <w:name w:val="heading 3"/>
    <w:basedOn w:val="Normal"/>
    <w:next w:val="Normal"/>
    <w:link w:val="Heading3Char"/>
    <w:qFormat/>
    <w:rsid w:val="00AA083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A083A"/>
    <w:rPr>
      <w:rFonts w:ascii="Arial" w:eastAsia="Times New Roman" w:hAnsi="Arial" w:cs="Arial"/>
      <w:b/>
      <w:bCs/>
      <w:sz w:val="26"/>
      <w:szCs w:val="26"/>
      <w:lang w:val="en-US" w:eastAsia="en-GB"/>
    </w:rPr>
  </w:style>
  <w:style w:type="paragraph" w:styleId="ListParagraph">
    <w:name w:val="List Paragraph"/>
    <w:basedOn w:val="Normal"/>
    <w:uiPriority w:val="34"/>
    <w:qFormat/>
    <w:rsid w:val="00AA0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FC1"/>
    <w:rPr>
      <w:rFonts w:ascii="Arial" w:eastAsia="Times New Roman" w:hAnsi="Arial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850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FC1"/>
    <w:rPr>
      <w:rFonts w:ascii="Arial" w:eastAsia="Times New Roman" w:hAnsi="Arial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C1"/>
    <w:rPr>
      <w:rFonts w:ascii="Tahoma" w:eastAsia="Times New Roman" w:hAnsi="Tahoma" w:cs="Tahoma"/>
      <w:sz w:val="16"/>
      <w:szCs w:val="16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1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1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121"/>
    <w:rPr>
      <w:rFonts w:ascii="Arial" w:eastAsia="Times New Roman" w:hAnsi="Arial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121"/>
    <w:rPr>
      <w:rFonts w:ascii="Arial" w:eastAsia="Times New Roman" w:hAnsi="Arial" w:cs="Times New Roman"/>
      <w:b/>
      <w:bCs/>
      <w:sz w:val="20"/>
      <w:szCs w:val="20"/>
      <w:lang w:val="en-US" w:eastAsia="en-GB"/>
    </w:rPr>
  </w:style>
  <w:style w:type="paragraph" w:styleId="Revision">
    <w:name w:val="Revision"/>
    <w:hidden/>
    <w:uiPriority w:val="99"/>
    <w:semiHidden/>
    <w:rsid w:val="0005112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GB"/>
    </w:rPr>
  </w:style>
  <w:style w:type="paragraph" w:customStyle="1" w:styleId="Default">
    <w:name w:val="Default"/>
    <w:rsid w:val="00E91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bd0f446-8cff-4be6-bebe-208ac79fc986" xsi:nil="true"/>
    <lcf76f155ced4ddcb4097134ff3c332f xmlns="5bd0f446-8cff-4be6-bebe-208ac79fc9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6D713801AD74B9EF6245EF6645189" ma:contentTypeVersion="18" ma:contentTypeDescription="Create a new document." ma:contentTypeScope="" ma:versionID="531b813c1d3fd6635cf7f788b1d969cd">
  <xsd:schema xmlns:xsd="http://www.w3.org/2001/XMLSchema" xmlns:xs="http://www.w3.org/2001/XMLSchema" xmlns:p="http://schemas.microsoft.com/office/2006/metadata/properties" xmlns:ns2="5bd0f446-8cff-4be6-bebe-208ac79fc986" xmlns:ns3="a7782bd8-b436-400f-a51f-6ee414dbac3b" targetNamespace="http://schemas.microsoft.com/office/2006/metadata/properties" ma:root="true" ma:fieldsID="c7c766b4e31b18c76820670ea858aa81" ns2:_="" ns3:_="">
    <xsd:import namespace="5bd0f446-8cff-4be6-bebe-208ac79fc986"/>
    <xsd:import namespace="a7782bd8-b436-400f-a51f-6ee414dba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0f446-8cff-4be6-bebe-208ac79fc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2a2f1-0a9b-409c-9e61-fcfb44d2e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82bd8-b436-400f-a51f-6ee414dba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8E655-9F62-439F-B580-41B15F94706C}">
  <ds:schemaRefs>
    <ds:schemaRef ds:uri="http://schemas.microsoft.com/office/2006/metadata/properties"/>
    <ds:schemaRef ds:uri="http://schemas.microsoft.com/office/infopath/2007/PartnerControls"/>
    <ds:schemaRef ds:uri="5bd0f446-8cff-4be6-bebe-208ac79fc986"/>
  </ds:schemaRefs>
</ds:datastoreItem>
</file>

<file path=customXml/itemProps2.xml><?xml version="1.0" encoding="utf-8"?>
<ds:datastoreItem xmlns:ds="http://schemas.openxmlformats.org/officeDocument/2006/customXml" ds:itemID="{1992EE22-50EB-452A-800F-5265F13A8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0f446-8cff-4be6-bebe-208ac79fc986"/>
    <ds:schemaRef ds:uri="a7782bd8-b436-400f-a51f-6ee414dba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91BA9-1CDA-4555-B3AF-C8A942BC7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1166</Words>
  <Characters>6649</Characters>
  <Application>Microsoft Office Word</Application>
  <DocSecurity>0</DocSecurity>
  <Lines>55</Lines>
  <Paragraphs>15</Paragraphs>
  <ScaleCrop>false</ScaleCrop>
  <Company>Dragon LNG Ltd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Callan</dc:creator>
  <cp:keywords/>
  <cp:lastModifiedBy>Lydia Clark</cp:lastModifiedBy>
  <cp:revision>70</cp:revision>
  <cp:lastPrinted>2021-05-18T08:50:00Z</cp:lastPrinted>
  <dcterms:created xsi:type="dcterms:W3CDTF">2026-04-13T16:08:00Z</dcterms:created>
  <dcterms:modified xsi:type="dcterms:W3CDTF">2026-04-21T06:43:00Z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0x010100B336D713801AD74B9EF6245EF6645189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